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10" w:rsidRDefault="00597D10" w:rsidP="00597D10">
      <w:pPr>
        <w:pStyle w:val="CommentText"/>
        <w:jc w:val="center"/>
        <w:rPr>
          <w:rFonts w:ascii="Cambria" w:hAnsi="Cambria"/>
          <w:sz w:val="32"/>
          <w:szCs w:val="32"/>
        </w:rPr>
      </w:pPr>
      <w:bookmarkStart w:id="0" w:name="_GoBack"/>
      <w:bookmarkEnd w:id="0"/>
      <w:r w:rsidRPr="00597D10">
        <w:rPr>
          <w:rFonts w:ascii="Cambria" w:hAnsi="Cambria"/>
          <w:bCs w:val="0"/>
          <w:noProof/>
          <w:sz w:val="24"/>
          <w:szCs w:val="24"/>
        </w:rPr>
        <w:drawing>
          <wp:inline distT="0" distB="0" distL="0" distR="0" wp14:anchorId="579E276D" wp14:editId="695B52B8">
            <wp:extent cx="5989320" cy="1088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1088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841" w:rsidRDefault="002F4841" w:rsidP="000073AC">
      <w:pPr>
        <w:pStyle w:val="CommentText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Person-Centered/Participant-Directed </w:t>
      </w:r>
      <w:r w:rsidR="005A6087">
        <w:rPr>
          <w:rFonts w:ascii="Cambria" w:hAnsi="Cambria"/>
          <w:sz w:val="32"/>
          <w:szCs w:val="32"/>
        </w:rPr>
        <w:t xml:space="preserve">(PC/PD) Social Work </w:t>
      </w:r>
      <w:r>
        <w:rPr>
          <w:rFonts w:ascii="Cambria" w:hAnsi="Cambria"/>
          <w:sz w:val="32"/>
          <w:szCs w:val="32"/>
        </w:rPr>
        <w:t>Competencies</w:t>
      </w:r>
      <w:r w:rsidR="00A57EB8">
        <w:rPr>
          <w:rStyle w:val="FootnoteReference"/>
          <w:rFonts w:ascii="Cambria" w:hAnsi="Cambria"/>
          <w:sz w:val="32"/>
          <w:szCs w:val="32"/>
        </w:rPr>
        <w:footnoteReference w:id="1"/>
      </w:r>
    </w:p>
    <w:p w:rsidR="000073AC" w:rsidRPr="000073AC" w:rsidRDefault="00790C37" w:rsidP="000073AC">
      <w:pPr>
        <w:pStyle w:val="CommentText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Teaching</w:t>
      </w:r>
      <w:r w:rsidR="000073AC" w:rsidRPr="000073AC">
        <w:rPr>
          <w:rFonts w:ascii="Cambria" w:hAnsi="Cambria"/>
          <w:sz w:val="32"/>
          <w:szCs w:val="32"/>
        </w:rPr>
        <w:t xml:space="preserve"> Resource</w:t>
      </w:r>
      <w:r w:rsidR="007B4B1F">
        <w:rPr>
          <w:rFonts w:ascii="Cambria" w:hAnsi="Cambria"/>
          <w:sz w:val="32"/>
          <w:szCs w:val="32"/>
        </w:rPr>
        <w:t>s</w:t>
      </w:r>
      <w:r w:rsidR="000073AC" w:rsidRPr="000073AC">
        <w:rPr>
          <w:rFonts w:ascii="Cambria" w:hAnsi="Cambria"/>
          <w:sz w:val="32"/>
          <w:szCs w:val="32"/>
        </w:rPr>
        <w:t xml:space="preserve"> Examples</w:t>
      </w:r>
    </w:p>
    <w:p w:rsidR="00B72E1B" w:rsidRPr="00B72E1B" w:rsidRDefault="00B72E1B" w:rsidP="00482B7C">
      <w:pPr>
        <w:pStyle w:val="CommentText"/>
        <w:rPr>
          <w:rFonts w:asciiTheme="majorHAnsi" w:hAnsiTheme="majorHAnsi"/>
        </w:rPr>
      </w:pPr>
    </w:p>
    <w:tbl>
      <w:tblPr>
        <w:tblStyle w:val="TableGrid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4608"/>
        <w:gridCol w:w="3600"/>
      </w:tblGrid>
      <w:tr w:rsidR="004724E7" w:rsidRPr="00967016" w:rsidTr="00BB0D9F">
        <w:trPr>
          <w:jc w:val="center"/>
        </w:trPr>
        <w:tc>
          <w:tcPr>
            <w:tcW w:w="14688" w:type="dxa"/>
            <w:gridSpan w:val="4"/>
            <w:shd w:val="clear" w:color="auto" w:fill="1F497D" w:themeFill="text2"/>
          </w:tcPr>
          <w:p w:rsidR="004724E7" w:rsidRPr="00967016" w:rsidRDefault="004724E7" w:rsidP="00482B7C">
            <w:pPr>
              <w:pStyle w:val="CommentText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967016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EPAS 2.1.1 – Identify as a professional social worker and conduct oneself accordingly.</w:t>
            </w:r>
          </w:p>
        </w:tc>
      </w:tr>
      <w:tr w:rsidR="006E30DB" w:rsidRPr="00A37FA9" w:rsidTr="004724E7">
        <w:trPr>
          <w:jc w:val="center"/>
        </w:trPr>
        <w:tc>
          <w:tcPr>
            <w:tcW w:w="2880" w:type="dxa"/>
            <w:shd w:val="clear" w:color="auto" w:fill="DBE5F1" w:themeFill="accent1" w:themeFillTint="33"/>
          </w:tcPr>
          <w:p w:rsidR="00446CD7" w:rsidRPr="00A37FA9" w:rsidRDefault="00446CD7" w:rsidP="00932B3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PC/PD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Competenc</w:t>
            </w:r>
            <w:r w:rsidR="00932B3A">
              <w:rPr>
                <w:rFonts w:asciiTheme="majorHAnsi" w:hAnsiTheme="majorHAnsi"/>
                <w:b/>
                <w:sz w:val="20"/>
                <w:szCs w:val="20"/>
              </w:rPr>
              <w:t>ies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446CD7" w:rsidRPr="00A37FA9" w:rsidRDefault="00446CD7" w:rsidP="00482B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Readings</w:t>
            </w:r>
          </w:p>
        </w:tc>
        <w:tc>
          <w:tcPr>
            <w:tcW w:w="4608" w:type="dxa"/>
            <w:shd w:val="clear" w:color="auto" w:fill="DBE5F1" w:themeFill="accent1" w:themeFillTint="33"/>
          </w:tcPr>
          <w:p w:rsidR="00446CD7" w:rsidRPr="00A37FA9" w:rsidRDefault="00446CD7" w:rsidP="006E30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Class Exercises and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Media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446CD7" w:rsidRDefault="006E30DB" w:rsidP="00B72E1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Assignments</w:t>
            </w:r>
          </w:p>
        </w:tc>
      </w:tr>
      <w:tr w:rsidR="006E30DB" w:rsidRPr="00ED153C" w:rsidTr="004724E7">
        <w:trPr>
          <w:jc w:val="center"/>
        </w:trPr>
        <w:tc>
          <w:tcPr>
            <w:tcW w:w="2880" w:type="dxa"/>
          </w:tcPr>
          <w:p w:rsidR="00FE714D" w:rsidRPr="00FE714D" w:rsidRDefault="00FE714D" w:rsidP="00482B7C">
            <w:pPr>
              <w:pStyle w:val="CommentText"/>
              <w:rPr>
                <w:rFonts w:asciiTheme="majorHAnsi" w:hAnsiTheme="majorHAnsi"/>
                <w:b w:val="0"/>
              </w:rPr>
            </w:pPr>
            <w:r w:rsidRPr="00FE714D">
              <w:rPr>
                <w:rFonts w:asciiTheme="majorHAnsi" w:hAnsiTheme="majorHAnsi"/>
                <w:b w:val="0"/>
                <w:color w:val="000000"/>
              </w:rPr>
              <w:t>Describe the philosophy and service model of person-centeredness in the context of social work as well as the roles and responsibilities of social workers, consumers, and agencies</w:t>
            </w:r>
            <w:r w:rsidR="00674D1A">
              <w:rPr>
                <w:rFonts w:asciiTheme="majorHAnsi" w:hAnsiTheme="majorHAnsi"/>
                <w:b w:val="0"/>
                <w:color w:val="000000"/>
              </w:rPr>
              <w:t>.</w:t>
            </w:r>
          </w:p>
        </w:tc>
        <w:tc>
          <w:tcPr>
            <w:tcW w:w="3600" w:type="dxa"/>
          </w:tcPr>
          <w:p w:rsidR="00446CD7" w:rsidRDefault="00B91680" w:rsidP="00482B7C">
            <w:pPr>
              <w:pStyle w:val="CommentText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What are a Person-C</w:t>
            </w:r>
            <w:r w:rsidR="00446CD7" w:rsidRPr="00A37FA9">
              <w:rPr>
                <w:rFonts w:asciiTheme="majorHAnsi" w:hAnsiTheme="majorHAnsi"/>
                <w:b w:val="0"/>
              </w:rPr>
              <w:t>entered Approach, Participant-Direction</w:t>
            </w:r>
            <w:r>
              <w:rPr>
                <w:rFonts w:asciiTheme="majorHAnsi" w:hAnsiTheme="majorHAnsi"/>
                <w:b w:val="0"/>
              </w:rPr>
              <w:t>,</w:t>
            </w:r>
            <w:r w:rsidR="00446CD7" w:rsidRPr="00A37FA9">
              <w:rPr>
                <w:rFonts w:asciiTheme="majorHAnsi" w:hAnsiTheme="majorHAnsi"/>
                <w:b w:val="0"/>
              </w:rPr>
              <w:t xml:space="preserve"> and Consumer-directed Care</w:t>
            </w:r>
            <w:r w:rsidR="00446CD7">
              <w:rPr>
                <w:rFonts w:asciiTheme="majorHAnsi" w:hAnsiTheme="majorHAnsi"/>
                <w:b w:val="0"/>
              </w:rPr>
              <w:t xml:space="preserve">? </w:t>
            </w:r>
            <w:r w:rsidR="00446CD7" w:rsidRPr="00C52353">
              <w:rPr>
                <w:rFonts w:asciiTheme="majorHAnsi" w:hAnsiTheme="majorHAnsi"/>
                <w:b w:val="0"/>
                <w:i/>
              </w:rPr>
              <w:t>Partnerships Project Glossary</w:t>
            </w:r>
            <w:r w:rsidR="00446CD7">
              <w:rPr>
                <w:rFonts w:asciiTheme="majorHAnsi" w:hAnsiTheme="majorHAnsi"/>
                <w:b w:val="0"/>
              </w:rPr>
              <w:t>.</w:t>
            </w:r>
          </w:p>
          <w:p w:rsidR="00446CD7" w:rsidRDefault="00446CD7" w:rsidP="00482B7C">
            <w:pPr>
              <w:pStyle w:val="CommentText"/>
              <w:rPr>
                <w:rFonts w:asciiTheme="majorHAnsi" w:hAnsiTheme="majorHAnsi"/>
                <w:b w:val="0"/>
              </w:rPr>
            </w:pPr>
          </w:p>
          <w:p w:rsidR="00446CD7" w:rsidRPr="00A37FA9" w:rsidRDefault="008014E4" w:rsidP="00597D10">
            <w:pPr>
              <w:pStyle w:val="CommentText"/>
              <w:rPr>
                <w:rFonts w:asciiTheme="majorHAnsi" w:hAnsiTheme="majorHAnsi"/>
                <w:b w:val="0"/>
              </w:rPr>
            </w:pPr>
            <w:r w:rsidRPr="002A7C6A">
              <w:rPr>
                <w:rFonts w:asciiTheme="majorHAnsi" w:hAnsiTheme="majorHAnsi"/>
                <w:b w:val="0"/>
              </w:rPr>
              <w:t xml:space="preserve">Mahoney, K. (2011). </w:t>
            </w:r>
            <w:r w:rsidR="00446CD7" w:rsidRPr="002A7C6A">
              <w:rPr>
                <w:rFonts w:asciiTheme="majorHAnsi" w:hAnsiTheme="majorHAnsi"/>
                <w:b w:val="0"/>
              </w:rPr>
              <w:t>Person-centered planning and participant decision-making. </w:t>
            </w:r>
            <w:r w:rsidR="00446CD7" w:rsidRPr="002A7C6A">
              <w:rPr>
                <w:rStyle w:val="Emphasis"/>
                <w:rFonts w:asciiTheme="majorHAnsi" w:eastAsiaTheme="majorEastAsia" w:hAnsiTheme="majorHAnsi"/>
                <w:b w:val="0"/>
              </w:rPr>
              <w:t>Health and Social </w:t>
            </w:r>
            <w:r w:rsidR="00446CD7" w:rsidRPr="002A7C6A">
              <w:rPr>
                <w:rFonts w:asciiTheme="majorHAnsi" w:hAnsiTheme="majorHAnsi"/>
                <w:b w:val="0"/>
                <w:i/>
              </w:rPr>
              <w:t>Work, 36</w:t>
            </w:r>
            <w:r w:rsidRPr="002A7C6A">
              <w:rPr>
                <w:rFonts w:asciiTheme="majorHAnsi" w:hAnsiTheme="majorHAnsi"/>
                <w:b w:val="0"/>
              </w:rPr>
              <w:t>(</w:t>
            </w:r>
            <w:r w:rsidR="00446CD7" w:rsidRPr="002A7C6A">
              <w:rPr>
                <w:rFonts w:asciiTheme="majorHAnsi" w:hAnsiTheme="majorHAnsi"/>
                <w:b w:val="0"/>
              </w:rPr>
              <w:t>3</w:t>
            </w:r>
            <w:r w:rsidRPr="002A7C6A">
              <w:rPr>
                <w:rFonts w:asciiTheme="majorHAnsi" w:hAnsiTheme="majorHAnsi"/>
                <w:b w:val="0"/>
              </w:rPr>
              <w:t>)</w:t>
            </w:r>
            <w:r w:rsidR="00446CD7" w:rsidRPr="002A7C6A">
              <w:rPr>
                <w:rFonts w:asciiTheme="majorHAnsi" w:hAnsiTheme="majorHAnsi"/>
                <w:b w:val="0"/>
              </w:rPr>
              <w:t>, 233-234.</w:t>
            </w:r>
          </w:p>
        </w:tc>
        <w:tc>
          <w:tcPr>
            <w:tcW w:w="4608" w:type="dxa"/>
          </w:tcPr>
          <w:p w:rsidR="00446CD7" w:rsidRPr="00B72E1B" w:rsidRDefault="00446CD7" w:rsidP="00835A19">
            <w:pPr>
              <w:pStyle w:val="CommentText"/>
              <w:rPr>
                <w:rFonts w:asciiTheme="majorHAnsi" w:hAnsiTheme="majorHAnsi"/>
                <w:b w:val="0"/>
                <w:i/>
              </w:rPr>
            </w:pPr>
            <w:r w:rsidRPr="00B72E1B">
              <w:rPr>
                <w:rFonts w:asciiTheme="majorHAnsi" w:hAnsiTheme="majorHAnsi"/>
                <w:b w:val="0"/>
              </w:rPr>
              <w:t xml:space="preserve">Video: </w:t>
            </w:r>
            <w:r w:rsidRPr="00E451E5">
              <w:rPr>
                <w:rFonts w:asciiTheme="majorHAnsi" w:hAnsiTheme="majorHAnsi"/>
                <w:b w:val="0"/>
                <w:i/>
              </w:rPr>
              <w:t xml:space="preserve">Participant’s Stories: </w:t>
            </w:r>
            <w:r w:rsidRPr="00B72E1B">
              <w:rPr>
                <w:rFonts w:asciiTheme="majorHAnsi" w:hAnsiTheme="majorHAnsi"/>
                <w:b w:val="0"/>
                <w:i/>
              </w:rPr>
              <w:t>Aisha Jackson</w:t>
            </w:r>
          </w:p>
          <w:p w:rsidR="00446CD7" w:rsidRDefault="006067A3" w:rsidP="00835A19">
            <w:pPr>
              <w:pStyle w:val="CommentText"/>
              <w:rPr>
                <w:rFonts w:asciiTheme="majorHAnsi" w:hAnsiTheme="majorHAnsi"/>
                <w:b w:val="0"/>
              </w:rPr>
            </w:pPr>
            <w:hyperlink r:id="rId9" w:history="1">
              <w:r w:rsidR="00446CD7" w:rsidRPr="003768EF">
                <w:rPr>
                  <w:rStyle w:val="Hyperlink"/>
                  <w:rFonts w:asciiTheme="majorHAnsi" w:hAnsiTheme="majorHAnsi"/>
                  <w:b w:val="0"/>
                </w:rPr>
                <w:t>https://www.youtube.com/watch?v=aBj4f1RTzqM</w:t>
              </w:r>
            </w:hyperlink>
          </w:p>
          <w:p w:rsidR="00446CD7" w:rsidRDefault="00446CD7" w:rsidP="00835A19">
            <w:pPr>
              <w:pStyle w:val="CommentText"/>
              <w:rPr>
                <w:rFonts w:asciiTheme="majorHAnsi" w:hAnsiTheme="majorHAnsi"/>
                <w:b w:val="0"/>
              </w:rPr>
            </w:pPr>
          </w:p>
          <w:p w:rsidR="00446CD7" w:rsidRDefault="00446CD7" w:rsidP="00A57EB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Video: </w:t>
            </w:r>
            <w:r w:rsidRPr="00E451E5">
              <w:rPr>
                <w:rFonts w:asciiTheme="majorHAnsi" w:hAnsiTheme="majorHAnsi" w:cs="Times New Roman"/>
                <w:i/>
                <w:sz w:val="20"/>
                <w:szCs w:val="20"/>
              </w:rPr>
              <w:t>What is Participant Direction?</w:t>
            </w:r>
            <w:r w:rsidRPr="00E451E5">
              <w:rPr>
                <w:i/>
              </w:rPr>
              <w:t xml:space="preserve"> </w:t>
            </w:r>
            <w:hyperlink r:id="rId10" w:history="1">
              <w:r w:rsidRPr="003768EF">
                <w:rPr>
                  <w:rStyle w:val="Hyperlink"/>
                  <w:rFonts w:asciiTheme="majorHAnsi" w:hAnsiTheme="majorHAnsi" w:cs="Times New Roman"/>
                  <w:sz w:val="20"/>
                  <w:szCs w:val="20"/>
                </w:rPr>
                <w:t>https://www.youtube.com/watch?v=wptcl0VxpOs</w:t>
              </w:r>
            </w:hyperlink>
          </w:p>
          <w:p w:rsidR="00446CD7" w:rsidRPr="00B72E1B" w:rsidRDefault="00446CD7" w:rsidP="00A57EB8">
            <w:pPr>
              <w:pStyle w:val="CommentText"/>
              <w:rPr>
                <w:rFonts w:asciiTheme="majorHAnsi" w:hAnsiTheme="majorHAnsi"/>
                <w:b w:val="0"/>
              </w:rPr>
            </w:pPr>
          </w:p>
        </w:tc>
        <w:tc>
          <w:tcPr>
            <w:tcW w:w="3600" w:type="dxa"/>
          </w:tcPr>
          <w:p w:rsidR="00446CD7" w:rsidRPr="003066D4" w:rsidRDefault="00B91680" w:rsidP="00602D41">
            <w:pPr>
              <w:ind w:left="18"/>
              <w:rPr>
                <w:rFonts w:ascii="Calibri" w:hAnsi="Calibri"/>
                <w:i/>
                <w:sz w:val="20"/>
                <w:szCs w:val="20"/>
              </w:rPr>
            </w:pPr>
            <w:r w:rsidRPr="003066D4">
              <w:rPr>
                <w:rFonts w:ascii="Calibri" w:hAnsi="Calibri"/>
                <w:i/>
                <w:sz w:val="20"/>
                <w:szCs w:val="20"/>
              </w:rPr>
              <w:t>Theory Application Paper</w:t>
            </w:r>
          </w:p>
          <w:p w:rsidR="003066D4" w:rsidRPr="00E9686E" w:rsidRDefault="00602D41" w:rsidP="00602D41">
            <w:pPr>
              <w:ind w:left="1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Students </w:t>
            </w:r>
            <w:r w:rsidRPr="00602D41">
              <w:rPr>
                <w:rFonts w:ascii="Calibri" w:hAnsi="Calibri"/>
                <w:sz w:val="20"/>
                <w:szCs w:val="20"/>
              </w:rPr>
              <w:t xml:space="preserve">apply a theoretical perspective to </w:t>
            </w:r>
            <w:r>
              <w:rPr>
                <w:rFonts w:ascii="Calibri" w:hAnsi="Calibri"/>
                <w:sz w:val="20"/>
                <w:szCs w:val="20"/>
              </w:rPr>
              <w:t>a selected</w:t>
            </w:r>
            <w:r w:rsidRPr="00602D41">
              <w:rPr>
                <w:rFonts w:ascii="Calibri" w:hAnsi="Calibri"/>
                <w:sz w:val="20"/>
                <w:szCs w:val="20"/>
              </w:rPr>
              <w:t xml:space="preserve"> issue </w:t>
            </w:r>
            <w:r>
              <w:rPr>
                <w:rFonts w:ascii="Calibri" w:hAnsi="Calibri"/>
                <w:sz w:val="20"/>
                <w:szCs w:val="20"/>
              </w:rPr>
              <w:t>of interest, including discussing the roles of the social worker, consumer, and agency, and comparing this to person-centered and participant-directed approaches.</w:t>
            </w:r>
          </w:p>
        </w:tc>
      </w:tr>
      <w:tr w:rsidR="004724E7" w:rsidRPr="00967016" w:rsidTr="006F3206">
        <w:trPr>
          <w:jc w:val="center"/>
        </w:trPr>
        <w:tc>
          <w:tcPr>
            <w:tcW w:w="14688" w:type="dxa"/>
            <w:gridSpan w:val="4"/>
            <w:shd w:val="clear" w:color="auto" w:fill="1F497D" w:themeFill="text2"/>
          </w:tcPr>
          <w:p w:rsidR="004724E7" w:rsidRPr="00967016" w:rsidRDefault="004724E7" w:rsidP="00482B7C">
            <w:pPr>
              <w:pStyle w:val="CommentText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967016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EPAS 2.1.2 – Apply social work ethical principles to guide professional practice.</w:t>
            </w:r>
          </w:p>
        </w:tc>
      </w:tr>
      <w:tr w:rsidR="00D202E2" w:rsidRPr="00A37FA9" w:rsidTr="004724E7">
        <w:trPr>
          <w:jc w:val="center"/>
        </w:trPr>
        <w:tc>
          <w:tcPr>
            <w:tcW w:w="2880" w:type="dxa"/>
            <w:shd w:val="clear" w:color="auto" w:fill="DBE5F1" w:themeFill="accent1" w:themeFillTint="33"/>
          </w:tcPr>
          <w:p w:rsidR="00D202E2" w:rsidRPr="00A37FA9" w:rsidRDefault="00D202E2" w:rsidP="00932B3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PC/PD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Competenc</w:t>
            </w:r>
            <w:r w:rsidR="00932B3A">
              <w:rPr>
                <w:rFonts w:asciiTheme="majorHAnsi" w:hAnsiTheme="majorHAnsi"/>
                <w:b/>
                <w:sz w:val="20"/>
                <w:szCs w:val="20"/>
              </w:rPr>
              <w:t>ies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Pr="00A37FA9" w:rsidRDefault="00D202E2" w:rsidP="00482B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Readings</w:t>
            </w:r>
          </w:p>
        </w:tc>
        <w:tc>
          <w:tcPr>
            <w:tcW w:w="4608" w:type="dxa"/>
            <w:shd w:val="clear" w:color="auto" w:fill="DBE5F1" w:themeFill="accent1" w:themeFillTint="33"/>
          </w:tcPr>
          <w:p w:rsidR="00D202E2" w:rsidRPr="00A37FA9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Class Exercises and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Media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Assignments</w:t>
            </w:r>
          </w:p>
        </w:tc>
      </w:tr>
      <w:tr w:rsidR="006E30DB" w:rsidRPr="00ED153C" w:rsidTr="004724E7">
        <w:trPr>
          <w:jc w:val="center"/>
        </w:trPr>
        <w:tc>
          <w:tcPr>
            <w:tcW w:w="2880" w:type="dxa"/>
          </w:tcPr>
          <w:p w:rsidR="00446CD7" w:rsidRDefault="00446CD7" w:rsidP="00482B7C">
            <w:pPr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82B7C">
              <w:rPr>
                <w:rFonts w:asciiTheme="majorHAnsi" w:eastAsia="Calibri" w:hAnsiTheme="majorHAnsi" w:cs="Times New Roman"/>
                <w:sz w:val="20"/>
                <w:szCs w:val="20"/>
              </w:rPr>
              <w:t>Respect and promote the participant’s right to dignity and self-determination.</w:t>
            </w:r>
          </w:p>
          <w:p w:rsidR="00932B3A" w:rsidRDefault="00932B3A" w:rsidP="00482B7C">
            <w:pPr>
              <w:rPr>
                <w:rFonts w:asciiTheme="majorHAnsi" w:eastAsia="Calibri" w:hAnsiTheme="majorHAnsi" w:cs="Times New Roman"/>
                <w:sz w:val="20"/>
                <w:szCs w:val="20"/>
              </w:rPr>
            </w:pPr>
          </w:p>
          <w:p w:rsidR="00446CD7" w:rsidRPr="00B72E1B" w:rsidRDefault="00932B3A" w:rsidP="00482B7C">
            <w:pPr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482B7C">
              <w:rPr>
                <w:rFonts w:asciiTheme="majorHAnsi" w:hAnsiTheme="majorHAnsi" w:cs="Times New Roman"/>
                <w:sz w:val="20"/>
                <w:szCs w:val="20"/>
              </w:rPr>
              <w:t>Encourage and support the participant to identify their own goals and determine their best options.</w:t>
            </w:r>
          </w:p>
          <w:p w:rsidR="00446CD7" w:rsidRPr="00482B7C" w:rsidRDefault="00446CD7" w:rsidP="00835A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36A6" w:rsidRDefault="004136A6" w:rsidP="0031181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NASW Code of Ethics</w:t>
            </w:r>
          </w:p>
          <w:p w:rsidR="00446CD7" w:rsidRDefault="006067A3" w:rsidP="00311819">
            <w:pPr>
              <w:rPr>
                <w:rFonts w:asciiTheme="majorHAnsi" w:hAnsiTheme="majorHAnsi" w:cs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446CD7" w:rsidRPr="003768EF">
                <w:rPr>
                  <w:rStyle w:val="Hyperlink"/>
                  <w:rFonts w:asciiTheme="majorHAnsi" w:hAnsiTheme="majorHAnsi" w:cs="Times New Roman"/>
                  <w:sz w:val="20"/>
                  <w:szCs w:val="20"/>
                </w:rPr>
                <w:t>http://www.socialworkers.org/pubs/code/default.asp</w:t>
              </w:r>
            </w:hyperlink>
          </w:p>
          <w:p w:rsidR="00446CD7" w:rsidRDefault="00446CD7" w:rsidP="00311819">
            <w:pPr>
              <w:rPr>
                <w:rFonts w:asciiTheme="majorHAnsi" w:hAnsiTheme="majorHAnsi" w:cs="Times New Roman"/>
                <w:color w:val="0000FF"/>
                <w:sz w:val="20"/>
                <w:szCs w:val="20"/>
                <w:u w:val="single"/>
              </w:rPr>
            </w:pPr>
          </w:p>
          <w:p w:rsidR="00446CD7" w:rsidRPr="002A7C6A" w:rsidRDefault="00446CD7" w:rsidP="00311819">
            <w:pPr>
              <w:rPr>
                <w:rFonts w:asciiTheme="majorHAnsi" w:hAnsiTheme="majorHAnsi"/>
                <w:sz w:val="20"/>
                <w:szCs w:val="20"/>
              </w:rPr>
            </w:pPr>
            <w:r w:rsidRPr="002A7C6A">
              <w:rPr>
                <w:rFonts w:asciiTheme="majorHAnsi" w:hAnsiTheme="majorHAnsi"/>
                <w:sz w:val="20"/>
                <w:szCs w:val="20"/>
              </w:rPr>
              <w:t>Polivka, L., (2000).</w:t>
            </w:r>
            <w:r w:rsidRPr="002A7C6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C6A">
              <w:rPr>
                <w:rFonts w:asciiTheme="majorHAnsi" w:hAnsiTheme="majorHAnsi"/>
                <w:sz w:val="20"/>
                <w:szCs w:val="20"/>
              </w:rPr>
              <w:t>The ethical and empirical basis for consumer-directed care for the frail elderly</w:t>
            </w:r>
            <w:r w:rsidRPr="002A7C6A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  <w:r w:rsidRPr="002A7C6A">
              <w:rPr>
                <w:rFonts w:asciiTheme="majorHAnsi" w:hAnsiTheme="majorHAnsi"/>
                <w:i/>
                <w:sz w:val="20"/>
                <w:szCs w:val="20"/>
              </w:rPr>
              <w:t>Contemporary Gerontology</w:t>
            </w:r>
            <w:r w:rsidRPr="002A7C6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2A7C6A">
              <w:rPr>
                <w:rFonts w:asciiTheme="majorHAnsi" w:hAnsiTheme="majorHAnsi"/>
                <w:i/>
                <w:sz w:val="20"/>
                <w:szCs w:val="20"/>
              </w:rPr>
              <w:t>7</w:t>
            </w:r>
            <w:r w:rsidRPr="002A7C6A">
              <w:rPr>
                <w:rFonts w:asciiTheme="majorHAnsi" w:hAnsiTheme="majorHAnsi"/>
                <w:sz w:val="20"/>
                <w:szCs w:val="20"/>
              </w:rPr>
              <w:t>(2), 50-52.</w:t>
            </w:r>
          </w:p>
          <w:p w:rsidR="00446CD7" w:rsidRPr="00ED153C" w:rsidRDefault="00446CD7" w:rsidP="003118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8" w:type="dxa"/>
          </w:tcPr>
          <w:p w:rsidR="00446CD7" w:rsidRDefault="00446CD7" w:rsidP="003118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Video: </w:t>
            </w:r>
            <w:r w:rsidRPr="00A463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The </w:t>
            </w:r>
            <w:r w:rsidRPr="00A463B5">
              <w:rPr>
                <w:rFonts w:asciiTheme="majorHAnsi" w:hAnsiTheme="majorHAnsi"/>
                <w:i/>
                <w:sz w:val="20"/>
                <w:szCs w:val="20"/>
              </w:rPr>
              <w:t>Thin Edge of Dignity</w:t>
            </w:r>
          </w:p>
          <w:p w:rsidR="00446CD7" w:rsidRDefault="00446CD7" w:rsidP="00311819">
            <w:pPr>
              <w:rPr>
                <w:rFonts w:asciiTheme="majorHAnsi" w:hAnsiTheme="majorHAnsi"/>
                <w:sz w:val="20"/>
                <w:szCs w:val="20"/>
              </w:rPr>
            </w:pPr>
            <w:r w:rsidRPr="00A00C77">
              <w:rPr>
                <w:rFonts w:asciiTheme="majorHAnsi" w:hAnsiTheme="majorHAnsi" w:cs="Times New Roman"/>
                <w:sz w:val="20"/>
                <w:szCs w:val="20"/>
              </w:rPr>
              <w:t>Moving example of life in an assisted living facility (ALF) from the perspective of an ALF resident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46CD7" w:rsidRDefault="006067A3" w:rsidP="00311819">
            <w:pPr>
              <w:rPr>
                <w:rFonts w:asciiTheme="majorHAnsi" w:hAnsiTheme="majorHAnsi"/>
                <w:sz w:val="20"/>
                <w:szCs w:val="20"/>
              </w:rPr>
            </w:pPr>
            <w:hyperlink r:id="rId12" w:history="1">
              <w:r w:rsidR="00446CD7" w:rsidRPr="003768EF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https://www.youtube.com/watch?v=UciTFCPCivI</w:t>
              </w:r>
            </w:hyperlink>
          </w:p>
          <w:p w:rsidR="00446CD7" w:rsidRPr="00B72E1B" w:rsidRDefault="00446CD7" w:rsidP="00835A19">
            <w:pPr>
              <w:ind w:left="-18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46CD7" w:rsidRDefault="00446CD7" w:rsidP="00E451E5">
            <w:pPr>
              <w:ind w:left="-18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Case S</w:t>
            </w:r>
            <w:r w:rsidRPr="00835A19">
              <w:rPr>
                <w:rFonts w:asciiTheme="majorHAnsi" w:hAnsiTheme="majorHAnsi" w:cs="Times New Roman"/>
                <w:sz w:val="20"/>
                <w:szCs w:val="20"/>
              </w:rPr>
              <w:t>tudies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  <w:r w:rsidRPr="00E451E5">
              <w:rPr>
                <w:rFonts w:asciiTheme="majorHAnsi" w:hAnsiTheme="majorHAnsi" w:cs="Times New Roman"/>
                <w:i/>
                <w:sz w:val="20"/>
                <w:szCs w:val="20"/>
              </w:rPr>
              <w:t>Ethical Issues in Community-based Care</w:t>
            </w:r>
          </w:p>
          <w:p w:rsidR="00446CD7" w:rsidRPr="00E451E5" w:rsidRDefault="006067A3" w:rsidP="00597D10">
            <w:pPr>
              <w:ind w:left="-18"/>
              <w:rPr>
                <w:rFonts w:asciiTheme="majorHAnsi" w:hAnsiTheme="majorHAnsi"/>
                <w:sz w:val="20"/>
                <w:szCs w:val="20"/>
              </w:rPr>
            </w:pPr>
            <w:hyperlink r:id="rId13" w:history="1">
              <w:r w:rsidR="00446CD7" w:rsidRPr="003768EF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http://www.cswe.org/CentersInitiatives/GeroEdCenter/Initiatives/WorkforceDevelopment/PartnershipsProject/Resources/74298/74314.aspx</w:t>
              </w:r>
            </w:hyperlink>
          </w:p>
        </w:tc>
        <w:tc>
          <w:tcPr>
            <w:tcW w:w="3600" w:type="dxa"/>
          </w:tcPr>
          <w:p w:rsidR="00446CD7" w:rsidRDefault="002C0364" w:rsidP="006D36C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Based upon </w:t>
            </w:r>
            <w:r w:rsidR="00674D1A">
              <w:rPr>
                <w:rFonts w:asciiTheme="majorHAnsi" w:hAnsiTheme="majorHAnsi"/>
                <w:sz w:val="20"/>
                <w:szCs w:val="20"/>
              </w:rPr>
              <w:t>students</w:t>
            </w:r>
            <w:r w:rsidR="006D36C2">
              <w:rPr>
                <w:rFonts w:asciiTheme="majorHAnsi" w:hAnsiTheme="majorHAnsi"/>
                <w:sz w:val="20"/>
                <w:szCs w:val="20"/>
              </w:rPr>
              <w:t>’</w:t>
            </w:r>
            <w:r w:rsidR="00674D1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field placement</w:t>
            </w:r>
            <w:r w:rsidR="006D36C2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, develop a case study that highlights the extent to which PC/PD concepts were or could have been incorporated</w:t>
            </w:r>
            <w:r w:rsidR="00674D1A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</w:tr>
      <w:tr w:rsidR="004724E7" w:rsidRPr="00967016" w:rsidTr="00846267">
        <w:trPr>
          <w:jc w:val="center"/>
        </w:trPr>
        <w:tc>
          <w:tcPr>
            <w:tcW w:w="14688" w:type="dxa"/>
            <w:gridSpan w:val="4"/>
            <w:shd w:val="clear" w:color="auto" w:fill="1F497D" w:themeFill="text2"/>
          </w:tcPr>
          <w:p w:rsidR="004724E7" w:rsidRPr="00967016" w:rsidRDefault="004724E7" w:rsidP="00DB7237">
            <w:pPr>
              <w:pStyle w:val="CommentText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967016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EPAS 2.1.3 – Apply critical thinking to inform and communicate professional judgments.</w:t>
            </w:r>
          </w:p>
        </w:tc>
      </w:tr>
      <w:tr w:rsidR="00D202E2" w:rsidRPr="00A37FA9" w:rsidTr="004724E7">
        <w:trPr>
          <w:jc w:val="center"/>
        </w:trPr>
        <w:tc>
          <w:tcPr>
            <w:tcW w:w="2880" w:type="dxa"/>
            <w:shd w:val="clear" w:color="auto" w:fill="DBE5F1" w:themeFill="accent1" w:themeFillTint="33"/>
          </w:tcPr>
          <w:p w:rsidR="00D202E2" w:rsidRPr="00A37FA9" w:rsidRDefault="00D202E2" w:rsidP="00932B3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PC/PD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Competenc</w:t>
            </w:r>
            <w:r w:rsidR="00932B3A">
              <w:rPr>
                <w:rFonts w:asciiTheme="majorHAnsi" w:hAnsiTheme="majorHAnsi"/>
                <w:b/>
                <w:sz w:val="20"/>
                <w:szCs w:val="20"/>
              </w:rPr>
              <w:t>ies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Pr="00A37FA9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Readings</w:t>
            </w:r>
          </w:p>
        </w:tc>
        <w:tc>
          <w:tcPr>
            <w:tcW w:w="4608" w:type="dxa"/>
            <w:shd w:val="clear" w:color="auto" w:fill="DBE5F1" w:themeFill="accent1" w:themeFillTint="33"/>
          </w:tcPr>
          <w:p w:rsidR="00D202E2" w:rsidRPr="00A37FA9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Class Exercises and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Media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Assignments</w:t>
            </w:r>
          </w:p>
        </w:tc>
      </w:tr>
      <w:tr w:rsidR="006E30DB" w:rsidRPr="00ED153C" w:rsidTr="004724E7">
        <w:trPr>
          <w:jc w:val="center"/>
        </w:trPr>
        <w:tc>
          <w:tcPr>
            <w:tcW w:w="2880" w:type="dxa"/>
          </w:tcPr>
          <w:p w:rsidR="00446CD7" w:rsidRDefault="00446CD7" w:rsidP="00DB7237">
            <w:pPr>
              <w:rPr>
                <w:rFonts w:asciiTheme="majorHAnsi" w:hAnsiTheme="majorHAnsi"/>
                <w:sz w:val="20"/>
                <w:szCs w:val="20"/>
              </w:rPr>
            </w:pPr>
            <w:r w:rsidRPr="00A37FA9">
              <w:rPr>
                <w:rFonts w:asciiTheme="majorHAnsi" w:hAnsiTheme="majorHAnsi"/>
                <w:sz w:val="20"/>
                <w:szCs w:val="20"/>
              </w:rPr>
              <w:t>Describe the history of independent living, self-determination &amp; and participant direction.</w:t>
            </w:r>
          </w:p>
          <w:p w:rsidR="00967016" w:rsidRDefault="00967016" w:rsidP="00DB723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B4B1F" w:rsidRDefault="007B4B1F" w:rsidP="00DB723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B4B1F" w:rsidRPr="00A37FA9" w:rsidRDefault="007B4B1F" w:rsidP="00DB72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446CD7" w:rsidRPr="00B72E1B" w:rsidRDefault="00446CD7" w:rsidP="00DB72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4608" w:type="dxa"/>
          </w:tcPr>
          <w:p w:rsidR="00446CD7" w:rsidRPr="00B72E1B" w:rsidRDefault="00446CD7" w:rsidP="00DB7237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72E1B">
              <w:rPr>
                <w:rFonts w:asciiTheme="majorHAnsi" w:hAnsiTheme="majorHAnsi"/>
                <w:sz w:val="20"/>
                <w:szCs w:val="20"/>
              </w:rPr>
              <w:t xml:space="preserve">Video: </w:t>
            </w:r>
            <w:r w:rsidRPr="00B72E1B">
              <w:rPr>
                <w:rFonts w:asciiTheme="majorHAnsi" w:hAnsiTheme="majorHAnsi"/>
                <w:i/>
                <w:sz w:val="20"/>
                <w:szCs w:val="20"/>
              </w:rPr>
              <w:t>The Promise of Olmstead: 15 Years Later</w:t>
            </w:r>
          </w:p>
          <w:p w:rsidR="00446CD7" w:rsidRDefault="00446CD7" w:rsidP="00DB7237">
            <w:pPr>
              <w:rPr>
                <w:rFonts w:asciiTheme="majorHAnsi" w:hAnsiTheme="majorHAnsi"/>
                <w:sz w:val="20"/>
                <w:szCs w:val="20"/>
              </w:rPr>
            </w:pPr>
            <w:r w:rsidRPr="00B72E1B">
              <w:rPr>
                <w:rFonts w:asciiTheme="majorHAnsi" w:hAnsiTheme="majorHAnsi"/>
                <w:sz w:val="20"/>
                <w:szCs w:val="20"/>
              </w:rPr>
              <w:t xml:space="preserve">Excellent background on disability rights. </w:t>
            </w:r>
          </w:p>
          <w:p w:rsidR="00446CD7" w:rsidRDefault="006067A3" w:rsidP="007B4B1F">
            <w:pPr>
              <w:rPr>
                <w:rFonts w:asciiTheme="majorHAnsi" w:hAnsiTheme="majorHAnsi"/>
                <w:sz w:val="20"/>
                <w:szCs w:val="20"/>
              </w:rPr>
            </w:pPr>
            <w:hyperlink r:id="rId14" w:history="1">
              <w:r w:rsidR="00446CD7" w:rsidRPr="003768EF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http://media.justice.gov/vod/ada/olmstead.mp4</w:t>
              </w:r>
            </w:hyperlink>
          </w:p>
          <w:p w:rsidR="007B4B1F" w:rsidRDefault="007B4B1F" w:rsidP="00DB723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2F66" w:rsidRDefault="00BE09F3" w:rsidP="00DB723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Video: </w:t>
            </w:r>
            <w:r w:rsidR="002B2F66" w:rsidRPr="00BE09F3">
              <w:rPr>
                <w:rFonts w:asciiTheme="majorHAnsi" w:hAnsiTheme="majorHAnsi"/>
                <w:i/>
                <w:sz w:val="20"/>
                <w:szCs w:val="20"/>
              </w:rPr>
              <w:t>Why is Participant Direction Important?</w:t>
            </w:r>
          </w:p>
          <w:p w:rsidR="007B4B1F" w:rsidRPr="007B4B1F" w:rsidRDefault="006067A3" w:rsidP="00BE09F3">
            <w:pPr>
              <w:rPr>
                <w:rFonts w:asciiTheme="majorHAnsi" w:hAnsiTheme="majorHAnsi"/>
                <w:color w:val="0000FF" w:themeColor="hyperlink"/>
                <w:sz w:val="20"/>
                <w:szCs w:val="20"/>
                <w:u w:val="single"/>
              </w:rPr>
            </w:pPr>
            <w:hyperlink r:id="rId15" w:history="1">
              <w:r w:rsidR="004136A6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https://www.youtube.com/watch?v=ushad5AD-QQ</w:t>
              </w:r>
            </w:hyperlink>
          </w:p>
        </w:tc>
        <w:tc>
          <w:tcPr>
            <w:tcW w:w="3600" w:type="dxa"/>
          </w:tcPr>
          <w:p w:rsidR="00446CD7" w:rsidRPr="00B72E1B" w:rsidRDefault="00446CD7" w:rsidP="00DB7237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24E7" w:rsidRPr="00967016" w:rsidTr="00B66071">
        <w:trPr>
          <w:jc w:val="center"/>
        </w:trPr>
        <w:tc>
          <w:tcPr>
            <w:tcW w:w="14688" w:type="dxa"/>
            <w:gridSpan w:val="4"/>
            <w:shd w:val="clear" w:color="auto" w:fill="1F497D" w:themeFill="text2"/>
          </w:tcPr>
          <w:p w:rsidR="004724E7" w:rsidRPr="00967016" w:rsidRDefault="004724E7" w:rsidP="00482B7C">
            <w:pPr>
              <w:pStyle w:val="CommentText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967016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lastRenderedPageBreak/>
              <w:t>EPAS 2.1.4 – Engage diversity and difference in practice.</w:t>
            </w:r>
          </w:p>
        </w:tc>
      </w:tr>
      <w:tr w:rsidR="00D202E2" w:rsidRPr="00A37FA9" w:rsidTr="004724E7">
        <w:trPr>
          <w:jc w:val="center"/>
        </w:trPr>
        <w:tc>
          <w:tcPr>
            <w:tcW w:w="2880" w:type="dxa"/>
            <w:shd w:val="clear" w:color="auto" w:fill="DBE5F1" w:themeFill="accent1" w:themeFillTint="33"/>
          </w:tcPr>
          <w:p w:rsidR="00D202E2" w:rsidRPr="00A37FA9" w:rsidRDefault="00D202E2" w:rsidP="00482B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PC/PD </w:t>
            </w:r>
            <w:r w:rsidR="00932B3A">
              <w:rPr>
                <w:rFonts w:asciiTheme="majorHAnsi" w:hAnsiTheme="majorHAnsi"/>
                <w:b/>
                <w:sz w:val="20"/>
                <w:szCs w:val="20"/>
              </w:rPr>
              <w:t>Competencies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Pr="00A37FA9" w:rsidRDefault="00D202E2" w:rsidP="00482B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Readings</w:t>
            </w:r>
          </w:p>
        </w:tc>
        <w:tc>
          <w:tcPr>
            <w:tcW w:w="4608" w:type="dxa"/>
            <w:shd w:val="clear" w:color="auto" w:fill="DBE5F1" w:themeFill="accent1" w:themeFillTint="33"/>
          </w:tcPr>
          <w:p w:rsidR="00D202E2" w:rsidRPr="00A37FA9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Class Exercises and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Media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Assignments</w:t>
            </w:r>
          </w:p>
        </w:tc>
      </w:tr>
      <w:tr w:rsidR="006E30DB" w:rsidRPr="00ED153C" w:rsidTr="004724E7">
        <w:trPr>
          <w:jc w:val="center"/>
        </w:trPr>
        <w:tc>
          <w:tcPr>
            <w:tcW w:w="2880" w:type="dxa"/>
          </w:tcPr>
          <w:p w:rsidR="00446CD7" w:rsidRDefault="00446CD7" w:rsidP="00835A19">
            <w:pPr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82B7C">
              <w:rPr>
                <w:rFonts w:asciiTheme="majorHAnsi" w:eastAsia="Calibri" w:hAnsiTheme="majorHAnsi" w:cs="Times New Roman"/>
                <w:sz w:val="20"/>
                <w:szCs w:val="20"/>
              </w:rPr>
              <w:t>Respect diversity among participants, families, and professionals (e.g., class, race, ethnicity, gender, and sexual orientation).</w:t>
            </w:r>
          </w:p>
          <w:p w:rsidR="00446CD7" w:rsidRPr="00482B7C" w:rsidRDefault="00446CD7" w:rsidP="00835A19">
            <w:pPr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:rsidR="00446CD7" w:rsidRDefault="00446CD7" w:rsidP="00835A19">
            <w:pPr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82B7C">
              <w:rPr>
                <w:rFonts w:asciiTheme="majorHAnsi" w:eastAsia="Calibri" w:hAnsiTheme="majorHAnsi" w:cs="Times New Roman"/>
                <w:sz w:val="20"/>
                <w:szCs w:val="20"/>
              </w:rPr>
              <w:t>Describe how diverse characteristics are sources of strengths for and /or may create barriers to accessing services and supports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.</w:t>
            </w:r>
          </w:p>
          <w:p w:rsidR="00446CD7" w:rsidRPr="00482B7C" w:rsidRDefault="00446CD7" w:rsidP="00835A19">
            <w:pPr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:rsidR="00446CD7" w:rsidRDefault="00446CD7" w:rsidP="00835A19">
            <w:pPr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82B7C">
              <w:rPr>
                <w:rFonts w:asciiTheme="majorHAnsi" w:eastAsia="Calibri" w:hAnsiTheme="majorHAnsi" w:cs="Times New Roman"/>
                <w:sz w:val="20"/>
                <w:szCs w:val="20"/>
              </w:rPr>
              <w:t>Explain how diverse characteristics may influence an individual’s family relationships, social organizations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,</w:t>
            </w:r>
            <w:r w:rsidRPr="00482B7C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and help-seeking behaviors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.</w:t>
            </w:r>
          </w:p>
          <w:p w:rsidR="00967016" w:rsidRPr="00482B7C" w:rsidRDefault="00967016" w:rsidP="00835A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446CD7" w:rsidRPr="002A7C6A" w:rsidRDefault="00446CD7" w:rsidP="00482B7C">
            <w:pPr>
              <w:pStyle w:val="CommentText"/>
              <w:rPr>
                <w:rFonts w:asciiTheme="majorHAnsi" w:hAnsiTheme="majorHAnsi"/>
                <w:b w:val="0"/>
              </w:rPr>
            </w:pPr>
            <w:r w:rsidRPr="002A7C6A">
              <w:rPr>
                <w:rFonts w:asciiTheme="majorHAnsi" w:hAnsiTheme="majorHAnsi"/>
                <w:b w:val="0"/>
              </w:rPr>
              <w:t xml:space="preserve">Sciegaj, </w:t>
            </w:r>
            <w:r w:rsidR="009765B0" w:rsidRPr="002A7C6A">
              <w:rPr>
                <w:rFonts w:asciiTheme="majorHAnsi" w:hAnsiTheme="majorHAnsi"/>
                <w:b w:val="0"/>
              </w:rPr>
              <w:t>M.,</w:t>
            </w:r>
            <w:r w:rsidR="008014E4" w:rsidRPr="002A7C6A">
              <w:rPr>
                <w:rFonts w:asciiTheme="majorHAnsi" w:hAnsiTheme="majorHAnsi"/>
                <w:b w:val="0"/>
              </w:rPr>
              <w:t xml:space="preserve"> </w:t>
            </w:r>
            <w:r w:rsidRPr="002A7C6A">
              <w:rPr>
                <w:rFonts w:asciiTheme="majorHAnsi" w:hAnsiTheme="majorHAnsi"/>
                <w:b w:val="0"/>
              </w:rPr>
              <w:t xml:space="preserve">Capitman, </w:t>
            </w:r>
            <w:r w:rsidR="009765B0" w:rsidRPr="002A7C6A">
              <w:rPr>
                <w:rFonts w:asciiTheme="majorHAnsi" w:hAnsiTheme="majorHAnsi"/>
                <w:b w:val="0"/>
              </w:rPr>
              <w:t>J.</w:t>
            </w:r>
            <w:r w:rsidR="008014E4" w:rsidRPr="002A7C6A">
              <w:rPr>
                <w:rFonts w:asciiTheme="majorHAnsi" w:hAnsiTheme="majorHAnsi"/>
                <w:b w:val="0"/>
              </w:rPr>
              <w:t xml:space="preserve"> </w:t>
            </w:r>
            <w:r w:rsidR="009765B0" w:rsidRPr="002A7C6A">
              <w:rPr>
                <w:rFonts w:asciiTheme="majorHAnsi" w:hAnsiTheme="majorHAnsi"/>
                <w:b w:val="0"/>
              </w:rPr>
              <w:t xml:space="preserve">A. </w:t>
            </w:r>
            <w:r w:rsidRPr="002A7C6A">
              <w:rPr>
                <w:rFonts w:asciiTheme="majorHAnsi" w:hAnsiTheme="majorHAnsi"/>
                <w:b w:val="0"/>
              </w:rPr>
              <w:t>&amp; Kyriacou</w:t>
            </w:r>
            <w:r w:rsidR="008014E4" w:rsidRPr="002A7C6A">
              <w:rPr>
                <w:rFonts w:asciiTheme="majorHAnsi" w:hAnsiTheme="majorHAnsi"/>
                <w:b w:val="0"/>
              </w:rPr>
              <w:t xml:space="preserve">, </w:t>
            </w:r>
            <w:r w:rsidR="009765B0" w:rsidRPr="002A7C6A">
              <w:rPr>
                <w:rFonts w:asciiTheme="majorHAnsi" w:hAnsiTheme="majorHAnsi"/>
                <w:b w:val="0"/>
              </w:rPr>
              <w:t>C.</w:t>
            </w:r>
            <w:r w:rsidR="008014E4" w:rsidRPr="002A7C6A">
              <w:rPr>
                <w:rFonts w:asciiTheme="majorHAnsi" w:hAnsiTheme="majorHAnsi"/>
                <w:b w:val="0"/>
              </w:rPr>
              <w:t xml:space="preserve"> </w:t>
            </w:r>
            <w:r w:rsidR="009765B0" w:rsidRPr="002A7C6A">
              <w:rPr>
                <w:rFonts w:asciiTheme="majorHAnsi" w:hAnsiTheme="majorHAnsi"/>
                <w:b w:val="0"/>
              </w:rPr>
              <w:t xml:space="preserve">K. </w:t>
            </w:r>
            <w:r w:rsidRPr="002A7C6A">
              <w:rPr>
                <w:rFonts w:asciiTheme="majorHAnsi" w:hAnsiTheme="majorHAnsi"/>
                <w:b w:val="0"/>
              </w:rPr>
              <w:t>(</w:t>
            </w:r>
            <w:r w:rsidR="009765B0" w:rsidRPr="002A7C6A">
              <w:rPr>
                <w:rFonts w:asciiTheme="majorHAnsi" w:hAnsiTheme="majorHAnsi"/>
                <w:b w:val="0"/>
              </w:rPr>
              <w:t>2004)</w:t>
            </w:r>
            <w:r w:rsidR="00A92A87">
              <w:rPr>
                <w:rFonts w:asciiTheme="majorHAnsi" w:hAnsiTheme="majorHAnsi"/>
                <w:b w:val="0"/>
              </w:rPr>
              <w:t>.</w:t>
            </w:r>
            <w:r w:rsidRPr="002A7C6A">
              <w:rPr>
                <w:rFonts w:asciiTheme="majorHAnsi" w:hAnsiTheme="majorHAnsi"/>
                <w:b w:val="0"/>
              </w:rPr>
              <w:t xml:space="preserve"> Consumer-directed community care: Race/ethnicity and individual differences in preferences for control. </w:t>
            </w:r>
            <w:r w:rsidRPr="002A7C6A">
              <w:rPr>
                <w:rFonts w:asciiTheme="majorHAnsi" w:hAnsiTheme="majorHAnsi"/>
                <w:b w:val="0"/>
                <w:i/>
              </w:rPr>
              <w:t>The Gerontologist,</w:t>
            </w:r>
            <w:r w:rsidRPr="002A7C6A">
              <w:rPr>
                <w:rFonts w:asciiTheme="majorHAnsi" w:hAnsiTheme="majorHAnsi"/>
                <w:b w:val="0"/>
              </w:rPr>
              <w:t xml:space="preserve"> </w:t>
            </w:r>
            <w:r w:rsidRPr="002A7C6A">
              <w:rPr>
                <w:rFonts w:asciiTheme="majorHAnsi" w:hAnsiTheme="majorHAnsi"/>
                <w:b w:val="0"/>
                <w:i/>
              </w:rPr>
              <w:t>44</w:t>
            </w:r>
            <w:r w:rsidRPr="002A7C6A">
              <w:rPr>
                <w:rFonts w:asciiTheme="majorHAnsi" w:hAnsiTheme="majorHAnsi"/>
                <w:b w:val="0"/>
              </w:rPr>
              <w:t>(4), 289-299.</w:t>
            </w:r>
          </w:p>
          <w:p w:rsidR="00446CD7" w:rsidRPr="002A7C6A" w:rsidRDefault="00446CD7" w:rsidP="00482B7C">
            <w:pPr>
              <w:pStyle w:val="CommentText"/>
              <w:rPr>
                <w:rFonts w:asciiTheme="majorHAnsi" w:hAnsiTheme="majorHAnsi"/>
                <w:b w:val="0"/>
                <w:u w:val="single"/>
              </w:rPr>
            </w:pPr>
          </w:p>
          <w:p w:rsidR="00446CD7" w:rsidRPr="002A7C6A" w:rsidRDefault="00446CD7" w:rsidP="00835A19">
            <w:pPr>
              <w:pStyle w:val="CommentText"/>
              <w:rPr>
                <w:rFonts w:asciiTheme="majorHAnsi" w:hAnsiTheme="majorHAnsi"/>
              </w:rPr>
            </w:pPr>
            <w:r w:rsidRPr="002A7C6A">
              <w:rPr>
                <w:rFonts w:asciiTheme="majorHAnsi" w:hAnsiTheme="majorHAnsi"/>
                <w:b w:val="0"/>
              </w:rPr>
              <w:t xml:space="preserve">deMedeiros, K. &amp; Doyle, P. J. (2013). Remembering the person in person-centered residential dementia care. </w:t>
            </w:r>
            <w:r w:rsidRPr="002A7C6A">
              <w:rPr>
                <w:rFonts w:asciiTheme="majorHAnsi" w:hAnsiTheme="majorHAnsi"/>
                <w:b w:val="0"/>
                <w:i/>
              </w:rPr>
              <w:t>Generations</w:t>
            </w:r>
            <w:r w:rsidRPr="002A7C6A">
              <w:rPr>
                <w:rFonts w:asciiTheme="majorHAnsi" w:hAnsiTheme="majorHAnsi"/>
                <w:b w:val="0"/>
              </w:rPr>
              <w:t xml:space="preserve">, </w:t>
            </w:r>
            <w:r w:rsidRPr="002A7C6A">
              <w:rPr>
                <w:rFonts w:asciiTheme="majorHAnsi" w:hAnsiTheme="majorHAnsi"/>
                <w:b w:val="0"/>
                <w:i/>
              </w:rPr>
              <w:t>37</w:t>
            </w:r>
            <w:r w:rsidRPr="002A7C6A">
              <w:rPr>
                <w:rFonts w:asciiTheme="majorHAnsi" w:hAnsiTheme="majorHAnsi"/>
                <w:b w:val="0"/>
              </w:rPr>
              <w:t>(3), 83-86.</w:t>
            </w:r>
          </w:p>
        </w:tc>
        <w:tc>
          <w:tcPr>
            <w:tcW w:w="4608" w:type="dxa"/>
          </w:tcPr>
          <w:p w:rsidR="00446CD7" w:rsidRDefault="00446CD7" w:rsidP="00A00C77">
            <w:pPr>
              <w:pStyle w:val="CommentText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C</w:t>
            </w:r>
            <w:r w:rsidRPr="00ED153C">
              <w:rPr>
                <w:rFonts w:asciiTheme="majorHAnsi" w:hAnsiTheme="majorHAnsi"/>
                <w:b w:val="0"/>
              </w:rPr>
              <w:t xml:space="preserve">ase </w:t>
            </w:r>
            <w:r>
              <w:rPr>
                <w:rFonts w:asciiTheme="majorHAnsi" w:hAnsiTheme="majorHAnsi"/>
                <w:b w:val="0"/>
              </w:rPr>
              <w:t>S</w:t>
            </w:r>
            <w:r w:rsidRPr="00ED153C">
              <w:rPr>
                <w:rFonts w:asciiTheme="majorHAnsi" w:hAnsiTheme="majorHAnsi"/>
                <w:b w:val="0"/>
              </w:rPr>
              <w:t>tudies</w:t>
            </w:r>
            <w:r>
              <w:rPr>
                <w:rFonts w:asciiTheme="majorHAnsi" w:hAnsiTheme="majorHAnsi"/>
                <w:b w:val="0"/>
              </w:rPr>
              <w:t>:</w:t>
            </w:r>
          </w:p>
          <w:p w:rsidR="00BE09F3" w:rsidRDefault="00BE09F3" w:rsidP="00A00C77">
            <w:pPr>
              <w:pStyle w:val="CommentText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Young Adult with a TBI</w:t>
            </w:r>
          </w:p>
          <w:p w:rsidR="00446CD7" w:rsidRDefault="00446CD7" w:rsidP="00BE09F3">
            <w:pPr>
              <w:pStyle w:val="CommentText"/>
              <w:ind w:left="216"/>
              <w:rPr>
                <w:rFonts w:asciiTheme="majorHAnsi" w:hAnsiTheme="majorHAnsi"/>
                <w:b w:val="0"/>
              </w:rPr>
            </w:pPr>
            <w:r w:rsidRPr="00ED153C">
              <w:rPr>
                <w:rFonts w:asciiTheme="majorHAnsi" w:hAnsiTheme="majorHAnsi"/>
                <w:b w:val="0"/>
              </w:rPr>
              <w:t>Latino male with physical disability</w:t>
            </w:r>
          </w:p>
          <w:p w:rsidR="00BE09F3" w:rsidRDefault="00BE09F3" w:rsidP="00A00C77">
            <w:pPr>
              <w:pStyle w:val="CommentText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Individual with a Developmental Disability</w:t>
            </w:r>
          </w:p>
          <w:p w:rsidR="00446CD7" w:rsidRPr="00ED153C" w:rsidRDefault="00446CD7" w:rsidP="00BE09F3">
            <w:pPr>
              <w:pStyle w:val="CommentText"/>
              <w:ind w:left="216"/>
              <w:rPr>
                <w:rFonts w:asciiTheme="majorHAnsi" w:hAnsiTheme="majorHAnsi"/>
                <w:b w:val="0"/>
              </w:rPr>
            </w:pPr>
            <w:r w:rsidRPr="00ED153C">
              <w:rPr>
                <w:rFonts w:asciiTheme="majorHAnsi" w:hAnsiTheme="majorHAnsi"/>
                <w:b w:val="0"/>
              </w:rPr>
              <w:t xml:space="preserve">African American </w:t>
            </w:r>
            <w:r w:rsidR="00BE09F3">
              <w:rPr>
                <w:rFonts w:asciiTheme="majorHAnsi" w:hAnsiTheme="majorHAnsi"/>
                <w:b w:val="0"/>
              </w:rPr>
              <w:t>fe</w:t>
            </w:r>
            <w:r w:rsidRPr="00ED153C">
              <w:rPr>
                <w:rFonts w:asciiTheme="majorHAnsi" w:hAnsiTheme="majorHAnsi"/>
                <w:b w:val="0"/>
              </w:rPr>
              <w:t>male with intellectual disability</w:t>
            </w:r>
          </w:p>
          <w:p w:rsidR="00446CD7" w:rsidRPr="00ED153C" w:rsidRDefault="00446CD7" w:rsidP="00482B7C">
            <w:pPr>
              <w:pStyle w:val="CommentText"/>
              <w:rPr>
                <w:rFonts w:asciiTheme="majorHAnsi" w:hAnsiTheme="majorHAnsi"/>
                <w:b w:val="0"/>
              </w:rPr>
            </w:pPr>
          </w:p>
          <w:p w:rsidR="00446CD7" w:rsidRPr="00B72E1B" w:rsidRDefault="00446CD7" w:rsidP="000C448C">
            <w:pPr>
              <w:pStyle w:val="CommentText"/>
              <w:rPr>
                <w:rFonts w:asciiTheme="majorHAnsi" w:hAnsiTheme="majorHAnsi"/>
                <w:b w:val="0"/>
                <w:i/>
              </w:rPr>
            </w:pPr>
            <w:r w:rsidRPr="00B72E1B">
              <w:rPr>
                <w:rFonts w:asciiTheme="majorHAnsi" w:hAnsiTheme="majorHAnsi"/>
                <w:b w:val="0"/>
              </w:rPr>
              <w:t xml:space="preserve">Video: </w:t>
            </w:r>
            <w:r w:rsidRPr="00E451E5">
              <w:rPr>
                <w:rFonts w:asciiTheme="majorHAnsi" w:hAnsiTheme="majorHAnsi"/>
                <w:b w:val="0"/>
                <w:i/>
              </w:rPr>
              <w:t xml:space="preserve">Participant’s Stories: </w:t>
            </w:r>
            <w:r w:rsidRPr="00B72E1B">
              <w:rPr>
                <w:rFonts w:asciiTheme="majorHAnsi" w:hAnsiTheme="majorHAnsi"/>
                <w:b w:val="0"/>
                <w:i/>
              </w:rPr>
              <w:t>Aisha Jackson</w:t>
            </w:r>
          </w:p>
          <w:p w:rsidR="00446CD7" w:rsidRDefault="006067A3" w:rsidP="00482B7C">
            <w:pPr>
              <w:rPr>
                <w:rFonts w:asciiTheme="majorHAnsi" w:hAnsiTheme="majorHAnsi"/>
                <w:sz w:val="20"/>
                <w:szCs w:val="20"/>
              </w:rPr>
            </w:pPr>
            <w:hyperlink r:id="rId16" w:history="1">
              <w:r w:rsidR="00446CD7" w:rsidRPr="003768EF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https://www.youtube.com/watch?v=aBj4f1RTzqM</w:t>
              </w:r>
            </w:hyperlink>
          </w:p>
          <w:p w:rsidR="00446CD7" w:rsidRPr="00ED153C" w:rsidRDefault="00446CD7" w:rsidP="00482B7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46CD7" w:rsidRDefault="00446CD7" w:rsidP="00A00C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Video: </w:t>
            </w:r>
            <w:r w:rsidRPr="00A463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The </w:t>
            </w:r>
            <w:r w:rsidRPr="00A463B5">
              <w:rPr>
                <w:rFonts w:asciiTheme="majorHAnsi" w:hAnsiTheme="majorHAnsi"/>
                <w:i/>
                <w:sz w:val="20"/>
                <w:szCs w:val="20"/>
              </w:rPr>
              <w:t>Thin Edge of Dignity</w:t>
            </w:r>
          </w:p>
          <w:p w:rsidR="00446CD7" w:rsidRDefault="006067A3" w:rsidP="00C52353">
            <w:pPr>
              <w:rPr>
                <w:rFonts w:asciiTheme="majorHAnsi" w:hAnsiTheme="majorHAnsi"/>
                <w:sz w:val="20"/>
                <w:szCs w:val="20"/>
              </w:rPr>
            </w:pPr>
            <w:hyperlink r:id="rId17" w:history="1">
              <w:r w:rsidR="00446CD7" w:rsidRPr="003768EF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https://www.youtube.com/watch?v=UciTFCPCivI</w:t>
              </w:r>
            </w:hyperlink>
          </w:p>
          <w:p w:rsidR="00446CD7" w:rsidRPr="00ED153C" w:rsidRDefault="00446CD7" w:rsidP="00482B7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46CD7" w:rsidRDefault="00446CD7" w:rsidP="00A00C7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Video: </w:t>
            </w:r>
            <w:r w:rsidRPr="00A00C77">
              <w:rPr>
                <w:rFonts w:asciiTheme="majorHAnsi" w:hAnsiTheme="majorHAnsi"/>
                <w:i/>
                <w:sz w:val="20"/>
                <w:szCs w:val="20"/>
              </w:rPr>
              <w:t>Voices from the Olmstead Decision</w:t>
            </w:r>
          </w:p>
          <w:p w:rsidR="00446CD7" w:rsidRDefault="00446CD7" w:rsidP="00205E39">
            <w:pPr>
              <w:rPr>
                <w:rFonts w:asciiTheme="majorHAnsi" w:hAnsiTheme="majorHAnsi"/>
                <w:sz w:val="20"/>
                <w:szCs w:val="20"/>
              </w:rPr>
            </w:pPr>
            <w:r w:rsidRPr="00A00C77">
              <w:rPr>
                <w:rFonts w:asciiTheme="majorHAnsi" w:hAnsiTheme="majorHAnsi"/>
                <w:sz w:val="20"/>
                <w:szCs w:val="20"/>
              </w:rPr>
              <w:t>Moving stories of persons with disabilities who have benefited from the Olmstead decision.</w:t>
            </w:r>
          </w:p>
          <w:p w:rsidR="00446CD7" w:rsidRDefault="006067A3" w:rsidP="00205E39">
            <w:pPr>
              <w:rPr>
                <w:rFonts w:asciiTheme="majorHAnsi" w:hAnsiTheme="majorHAnsi"/>
                <w:sz w:val="20"/>
                <w:szCs w:val="20"/>
              </w:rPr>
            </w:pPr>
            <w:hyperlink r:id="rId18" w:history="1">
              <w:r w:rsidR="00446CD7" w:rsidRPr="003768EF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http://media.justice.gov/vod/ada/voices-olmstead.mp4</w:t>
              </w:r>
            </w:hyperlink>
          </w:p>
          <w:p w:rsidR="00446CD7" w:rsidRPr="00ED153C" w:rsidRDefault="00446CD7" w:rsidP="00205E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446CD7" w:rsidRPr="00610F96" w:rsidRDefault="00967016" w:rsidP="00610F96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szCs w:val="20"/>
              </w:rPr>
            </w:pPr>
            <w:r w:rsidRPr="00610F96">
              <w:rPr>
                <w:rFonts w:asciiTheme="majorHAnsi" w:hAnsiTheme="majorHAnsi"/>
                <w:i/>
                <w:sz w:val="20"/>
                <w:szCs w:val="20"/>
              </w:rPr>
              <w:t xml:space="preserve">Diversity </w:t>
            </w:r>
            <w:r w:rsidR="00610F96" w:rsidRPr="00610F96">
              <w:rPr>
                <w:rFonts w:asciiTheme="majorHAnsi" w:hAnsiTheme="majorHAnsi"/>
                <w:i/>
                <w:sz w:val="20"/>
                <w:szCs w:val="20"/>
              </w:rPr>
              <w:t>Research</w:t>
            </w:r>
          </w:p>
          <w:p w:rsidR="00610F96" w:rsidRPr="00610F96" w:rsidRDefault="00610F96" w:rsidP="003066D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</w:t>
            </w:r>
            <w:r w:rsidRPr="00610F96">
              <w:rPr>
                <w:rFonts w:asciiTheme="majorHAnsi" w:hAnsiTheme="majorHAnsi"/>
                <w:sz w:val="20"/>
                <w:szCs w:val="20"/>
              </w:rPr>
              <w:t>his assignment assist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610F9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students</w:t>
            </w:r>
            <w:r w:rsidRPr="00610F96">
              <w:rPr>
                <w:rFonts w:asciiTheme="majorHAnsi" w:hAnsiTheme="majorHAnsi"/>
                <w:sz w:val="20"/>
                <w:szCs w:val="20"/>
              </w:rPr>
              <w:t xml:space="preserve"> in using social work literature to identify techniques and strategies supported by research in working with diverse groups</w:t>
            </w:r>
            <w:r w:rsidR="003066D4">
              <w:rPr>
                <w:rFonts w:asciiTheme="majorHAnsi" w:hAnsiTheme="majorHAnsi"/>
                <w:sz w:val="20"/>
                <w:szCs w:val="20"/>
              </w:rPr>
              <w:t xml:space="preserve">. Students are asked to </w:t>
            </w:r>
            <w:r w:rsidRPr="00610F96">
              <w:rPr>
                <w:rFonts w:asciiTheme="majorHAnsi" w:hAnsiTheme="majorHAnsi"/>
                <w:sz w:val="20"/>
                <w:szCs w:val="20"/>
              </w:rPr>
              <w:t xml:space="preserve">comment on the extent to which the </w:t>
            </w:r>
            <w:r w:rsidR="003066D4">
              <w:rPr>
                <w:rFonts w:asciiTheme="majorHAnsi" w:hAnsiTheme="majorHAnsi"/>
                <w:sz w:val="20"/>
                <w:szCs w:val="20"/>
              </w:rPr>
              <w:t xml:space="preserve">author’s </w:t>
            </w:r>
            <w:r w:rsidRPr="00610F96">
              <w:rPr>
                <w:rFonts w:asciiTheme="majorHAnsi" w:hAnsiTheme="majorHAnsi"/>
                <w:sz w:val="20"/>
                <w:szCs w:val="20"/>
              </w:rPr>
              <w:t xml:space="preserve">approach </w:t>
            </w:r>
            <w:r w:rsidR="003066D4">
              <w:rPr>
                <w:rFonts w:asciiTheme="majorHAnsi" w:hAnsiTheme="majorHAnsi"/>
                <w:sz w:val="20"/>
                <w:szCs w:val="20"/>
              </w:rPr>
              <w:t xml:space="preserve">to social work practice </w:t>
            </w:r>
            <w:r w:rsidRPr="00610F96">
              <w:rPr>
                <w:rFonts w:asciiTheme="majorHAnsi" w:hAnsiTheme="majorHAnsi"/>
                <w:sz w:val="20"/>
                <w:szCs w:val="20"/>
              </w:rPr>
              <w:t>allows for consumers to determine their own goals and options and make their own decisions</w:t>
            </w:r>
            <w:r w:rsidR="003066D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4724E7" w:rsidRPr="00967016" w:rsidTr="00BC3B29">
        <w:trPr>
          <w:jc w:val="center"/>
        </w:trPr>
        <w:tc>
          <w:tcPr>
            <w:tcW w:w="14688" w:type="dxa"/>
            <w:gridSpan w:val="4"/>
            <w:shd w:val="clear" w:color="auto" w:fill="1F497D" w:themeFill="text2"/>
          </w:tcPr>
          <w:p w:rsidR="004724E7" w:rsidRPr="00967016" w:rsidRDefault="004724E7" w:rsidP="00DB7237">
            <w:pPr>
              <w:pStyle w:val="CommentText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967016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EPAS 2.1.5 – Advance human rights and social and economic justice.</w:t>
            </w:r>
          </w:p>
        </w:tc>
      </w:tr>
      <w:tr w:rsidR="00D202E2" w:rsidRPr="00A37FA9" w:rsidTr="004724E7">
        <w:trPr>
          <w:jc w:val="center"/>
        </w:trPr>
        <w:tc>
          <w:tcPr>
            <w:tcW w:w="2880" w:type="dxa"/>
            <w:shd w:val="clear" w:color="auto" w:fill="DBE5F1" w:themeFill="accent1" w:themeFillTint="33"/>
          </w:tcPr>
          <w:p w:rsidR="00D202E2" w:rsidRPr="00A37FA9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PC/PD </w:t>
            </w:r>
            <w:r w:rsidR="00932B3A">
              <w:rPr>
                <w:rFonts w:asciiTheme="majorHAnsi" w:hAnsiTheme="majorHAnsi"/>
                <w:b/>
                <w:sz w:val="20"/>
                <w:szCs w:val="20"/>
              </w:rPr>
              <w:t>Competencies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Pr="00A37FA9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Readings</w:t>
            </w:r>
          </w:p>
        </w:tc>
        <w:tc>
          <w:tcPr>
            <w:tcW w:w="4608" w:type="dxa"/>
            <w:shd w:val="clear" w:color="auto" w:fill="DBE5F1" w:themeFill="accent1" w:themeFillTint="33"/>
          </w:tcPr>
          <w:p w:rsidR="00D202E2" w:rsidRPr="00A37FA9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Class Exercises and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Media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Assignments</w:t>
            </w:r>
          </w:p>
        </w:tc>
      </w:tr>
      <w:tr w:rsidR="006E30DB" w:rsidRPr="00ED153C" w:rsidTr="004724E7">
        <w:trPr>
          <w:jc w:val="center"/>
        </w:trPr>
        <w:tc>
          <w:tcPr>
            <w:tcW w:w="2880" w:type="dxa"/>
          </w:tcPr>
          <w:p w:rsidR="00446CD7" w:rsidRDefault="00446CD7" w:rsidP="00DB7237">
            <w:pPr>
              <w:rPr>
                <w:rFonts w:asciiTheme="majorHAnsi" w:hAnsiTheme="majorHAnsi"/>
                <w:sz w:val="20"/>
                <w:szCs w:val="20"/>
              </w:rPr>
            </w:pPr>
            <w:r w:rsidRPr="00392BB4">
              <w:rPr>
                <w:rFonts w:asciiTheme="majorHAnsi" w:hAnsiTheme="majorHAnsi"/>
                <w:sz w:val="20"/>
                <w:szCs w:val="20"/>
              </w:rPr>
              <w:t>Understand the forms and mechanisms of privilege, oppression, and discrimination and their impacts on participants and their families.</w:t>
            </w:r>
          </w:p>
          <w:p w:rsidR="00446CD7" w:rsidRPr="00392BB4" w:rsidRDefault="00446CD7" w:rsidP="00DB723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46CD7" w:rsidRDefault="00446CD7" w:rsidP="00DB723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92BB4">
              <w:rPr>
                <w:rFonts w:asciiTheme="majorHAnsi" w:hAnsiTheme="majorHAnsi"/>
                <w:sz w:val="20"/>
                <w:szCs w:val="20"/>
              </w:rPr>
              <w:t>Describe how privilege, oppression, and discrimination may impact access to services and supports.</w:t>
            </w:r>
            <w:r w:rsidRPr="00392BB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</w:p>
          <w:p w:rsidR="00446CD7" w:rsidRPr="00392BB4" w:rsidRDefault="00446CD7" w:rsidP="00DB723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446CD7" w:rsidRPr="00ED153C" w:rsidRDefault="00446CD7" w:rsidP="00DB7237">
            <w:pPr>
              <w:rPr>
                <w:rFonts w:asciiTheme="majorHAnsi" w:hAnsiTheme="majorHAnsi"/>
                <w:sz w:val="20"/>
                <w:szCs w:val="20"/>
              </w:rPr>
            </w:pPr>
            <w:r w:rsidRPr="00670DE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Koren, M. J. (2010). Person-centered care for nursing home residents: The culture-change movement. </w:t>
            </w:r>
            <w:r w:rsidRPr="00670DE1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</w:rPr>
              <w:t>Health Affairs, 29</w:t>
            </w:r>
            <w:r w:rsidRPr="00670DE1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(2),</w:t>
            </w:r>
            <w:r w:rsidRPr="00670DE1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</w:rPr>
              <w:t xml:space="preserve"> </w:t>
            </w:r>
            <w:r w:rsidRPr="00670DE1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312-317.</w:t>
            </w:r>
          </w:p>
        </w:tc>
        <w:tc>
          <w:tcPr>
            <w:tcW w:w="4608" w:type="dxa"/>
          </w:tcPr>
          <w:p w:rsidR="00446CD7" w:rsidRDefault="00446CD7" w:rsidP="00DB7237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670DE1">
              <w:rPr>
                <w:rFonts w:asciiTheme="majorHAnsi" w:hAnsiTheme="majorHAnsi"/>
                <w:sz w:val="20"/>
                <w:szCs w:val="20"/>
              </w:rPr>
              <w:t xml:space="preserve">Video: </w:t>
            </w:r>
            <w:r w:rsidRPr="00ED153C">
              <w:rPr>
                <w:rFonts w:asciiTheme="majorHAnsi" w:hAnsiTheme="majorHAnsi"/>
                <w:i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P</w:t>
            </w:r>
            <w:r w:rsidRPr="00ED153C">
              <w:rPr>
                <w:rFonts w:asciiTheme="majorHAnsi" w:hAnsiTheme="majorHAnsi"/>
                <w:i/>
                <w:sz w:val="20"/>
                <w:szCs w:val="20"/>
              </w:rPr>
              <w:t xml:space="preserve">romise of Olmstead: 15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Y</w:t>
            </w:r>
            <w:r w:rsidRPr="00ED153C">
              <w:rPr>
                <w:rFonts w:asciiTheme="majorHAnsi" w:hAnsiTheme="majorHAnsi"/>
                <w:i/>
                <w:sz w:val="20"/>
                <w:szCs w:val="20"/>
              </w:rPr>
              <w:t xml:space="preserve">ears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L</w:t>
            </w:r>
            <w:r w:rsidRPr="00ED153C">
              <w:rPr>
                <w:rFonts w:asciiTheme="majorHAnsi" w:hAnsiTheme="majorHAnsi"/>
                <w:i/>
                <w:sz w:val="20"/>
                <w:szCs w:val="20"/>
              </w:rPr>
              <w:t>ater</w:t>
            </w:r>
          </w:p>
          <w:p w:rsidR="00446CD7" w:rsidRDefault="006067A3" w:rsidP="00C52353">
            <w:pPr>
              <w:rPr>
                <w:rFonts w:asciiTheme="majorHAnsi" w:hAnsiTheme="majorHAnsi"/>
                <w:sz w:val="20"/>
                <w:szCs w:val="20"/>
              </w:rPr>
            </w:pPr>
            <w:hyperlink r:id="rId19" w:history="1">
              <w:r w:rsidR="00446CD7" w:rsidRPr="003768EF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http://media.justice.gov/vod/ada/olmstead.mp4</w:t>
              </w:r>
            </w:hyperlink>
          </w:p>
          <w:p w:rsidR="00446CD7" w:rsidRPr="00ED153C" w:rsidRDefault="00446CD7" w:rsidP="00DB7237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446CD7" w:rsidRPr="00670DE1" w:rsidRDefault="00446CD7" w:rsidP="00DB7237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776" w:rsidRPr="00967016" w:rsidTr="00DB7237">
        <w:trPr>
          <w:jc w:val="center"/>
        </w:trPr>
        <w:tc>
          <w:tcPr>
            <w:tcW w:w="14688" w:type="dxa"/>
            <w:gridSpan w:val="4"/>
            <w:shd w:val="clear" w:color="auto" w:fill="1F497D" w:themeFill="text2"/>
          </w:tcPr>
          <w:p w:rsidR="00602776" w:rsidRPr="00967016" w:rsidRDefault="00602776" w:rsidP="00602776">
            <w:pPr>
              <w:pStyle w:val="CommentText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967016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EPAS 2.1.8 – Engage in policy practice to advance social and economic well-being and to deliver effective social work services.</w:t>
            </w:r>
          </w:p>
        </w:tc>
      </w:tr>
      <w:tr w:rsidR="00602776" w:rsidRPr="00A37FA9" w:rsidTr="00DB7237">
        <w:trPr>
          <w:jc w:val="center"/>
        </w:trPr>
        <w:tc>
          <w:tcPr>
            <w:tcW w:w="2880" w:type="dxa"/>
            <w:shd w:val="clear" w:color="auto" w:fill="DBE5F1" w:themeFill="accent1" w:themeFillTint="33"/>
          </w:tcPr>
          <w:p w:rsidR="00602776" w:rsidRPr="00A37FA9" w:rsidRDefault="00602776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PC/PD </w:t>
            </w:r>
            <w:r w:rsidR="00932B3A">
              <w:rPr>
                <w:rFonts w:asciiTheme="majorHAnsi" w:hAnsiTheme="majorHAnsi"/>
                <w:b/>
                <w:sz w:val="20"/>
                <w:szCs w:val="20"/>
              </w:rPr>
              <w:t>Competencies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602776" w:rsidRPr="00A37FA9" w:rsidRDefault="00602776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Readings</w:t>
            </w:r>
          </w:p>
        </w:tc>
        <w:tc>
          <w:tcPr>
            <w:tcW w:w="4608" w:type="dxa"/>
            <w:shd w:val="clear" w:color="auto" w:fill="DBE5F1" w:themeFill="accent1" w:themeFillTint="33"/>
          </w:tcPr>
          <w:p w:rsidR="00602776" w:rsidRPr="00A37FA9" w:rsidRDefault="00602776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Class Exercises and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Media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602776" w:rsidRDefault="00602776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Assignments</w:t>
            </w:r>
          </w:p>
        </w:tc>
      </w:tr>
      <w:tr w:rsidR="00602776" w:rsidRPr="00ED153C" w:rsidTr="00DB7237">
        <w:trPr>
          <w:jc w:val="center"/>
        </w:trPr>
        <w:tc>
          <w:tcPr>
            <w:tcW w:w="2880" w:type="dxa"/>
          </w:tcPr>
          <w:p w:rsidR="00F002C2" w:rsidRDefault="00F002C2" w:rsidP="0060277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Understand the policy history of major public programs for long-term services and supports.</w:t>
            </w:r>
          </w:p>
          <w:p w:rsidR="00E30276" w:rsidRDefault="00E30276" w:rsidP="0060277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002C2" w:rsidRDefault="00F002C2" w:rsidP="0060277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Identify effective techniques to advocate for strengthening existing or developing new and stronger long-term services and supports. </w:t>
            </w:r>
          </w:p>
          <w:p w:rsidR="00602776" w:rsidRPr="00ED153C" w:rsidRDefault="00602776" w:rsidP="0060277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E30276" w:rsidRPr="002A7C6A" w:rsidRDefault="00E30276" w:rsidP="00BE09F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A7C6A">
              <w:rPr>
                <w:rFonts w:ascii="Calibri" w:hAnsi="Calibri"/>
                <w:sz w:val="20"/>
                <w:szCs w:val="20"/>
              </w:rPr>
              <w:lastRenderedPageBreak/>
              <w:t>Hudson, R. (2014). The aging network and long-term services and supports: Synergy or subordination</w:t>
            </w:r>
            <w:r w:rsidR="00BE09F3" w:rsidRPr="002A7C6A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2A7C6A">
              <w:rPr>
                <w:rFonts w:ascii="Calibri" w:hAnsi="Calibri"/>
                <w:i/>
                <w:sz w:val="20"/>
                <w:szCs w:val="20"/>
              </w:rPr>
              <w:t>Generations</w:t>
            </w:r>
            <w:r w:rsidRPr="002A7C6A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2A7C6A">
              <w:rPr>
                <w:rFonts w:ascii="Calibri" w:hAnsi="Calibri"/>
                <w:i/>
                <w:sz w:val="20"/>
                <w:szCs w:val="20"/>
              </w:rPr>
              <w:t>38</w:t>
            </w:r>
            <w:r w:rsidRPr="002A7C6A">
              <w:rPr>
                <w:rFonts w:ascii="Calibri" w:hAnsi="Calibri"/>
                <w:sz w:val="20"/>
                <w:szCs w:val="20"/>
              </w:rPr>
              <w:t>, 22-29.</w:t>
            </w:r>
          </w:p>
          <w:p w:rsidR="00602776" w:rsidRPr="002A7C6A" w:rsidRDefault="00602776" w:rsidP="0060277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b w:val="0"/>
                <w:sz w:val="20"/>
                <w:szCs w:val="20"/>
              </w:rPr>
            </w:pPr>
          </w:p>
          <w:p w:rsidR="00E30276" w:rsidRPr="002A7C6A" w:rsidRDefault="00E30276" w:rsidP="00BE09F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A7C6A">
              <w:rPr>
                <w:rFonts w:ascii="Calibri" w:hAnsi="Calibri"/>
                <w:sz w:val="20"/>
                <w:szCs w:val="20"/>
              </w:rPr>
              <w:t xml:space="preserve">Simon-Rusinowitz, L., Loughlin, D. M., Ruben, K., Garcia, G. M., &amp; Mahoney, K. (2010). The benefits of consumer-directed services for elders and their </w:t>
            </w:r>
            <w:r w:rsidRPr="002A7C6A">
              <w:rPr>
                <w:rFonts w:ascii="Calibri" w:hAnsi="Calibri"/>
                <w:sz w:val="20"/>
                <w:szCs w:val="20"/>
              </w:rPr>
              <w:lastRenderedPageBreak/>
              <w:t xml:space="preserve">caregivers in the cash and counseling demonstration and evaluation. </w:t>
            </w:r>
            <w:r w:rsidRPr="002A7C6A">
              <w:rPr>
                <w:rFonts w:ascii="Calibri" w:hAnsi="Calibri"/>
                <w:i/>
                <w:sz w:val="20"/>
                <w:szCs w:val="20"/>
              </w:rPr>
              <w:t>Public Policy</w:t>
            </w:r>
            <w:r w:rsidRPr="002A7C6A">
              <w:rPr>
                <w:rFonts w:ascii="Calibri" w:hAnsi="Calibri"/>
                <w:sz w:val="20"/>
                <w:szCs w:val="20"/>
              </w:rPr>
              <w:t xml:space="preserve"> &amp; </w:t>
            </w:r>
            <w:r w:rsidRPr="002A7C6A">
              <w:rPr>
                <w:rFonts w:ascii="Calibri" w:hAnsi="Calibri"/>
                <w:i/>
                <w:sz w:val="20"/>
                <w:szCs w:val="20"/>
              </w:rPr>
              <w:t>Aging and Report</w:t>
            </w:r>
            <w:r w:rsidRPr="002A7C6A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2A7C6A">
              <w:rPr>
                <w:rFonts w:ascii="Calibri" w:hAnsi="Calibri"/>
                <w:i/>
                <w:sz w:val="20"/>
                <w:szCs w:val="20"/>
              </w:rPr>
              <w:t>20</w:t>
            </w:r>
            <w:r w:rsidRPr="002A7C6A">
              <w:rPr>
                <w:rFonts w:ascii="Calibri" w:hAnsi="Calibri"/>
                <w:sz w:val="20"/>
                <w:szCs w:val="20"/>
              </w:rPr>
              <w:t>(1), 27-31.</w:t>
            </w:r>
          </w:p>
          <w:p w:rsidR="002A0756" w:rsidRPr="002A7C6A" w:rsidRDefault="002A0756" w:rsidP="00D6559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BE09F3" w:rsidRDefault="009A50B4" w:rsidP="009A50B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A7C6A">
              <w:rPr>
                <w:rFonts w:ascii="Calibri" w:hAnsi="Calibri"/>
                <w:sz w:val="20"/>
                <w:szCs w:val="20"/>
              </w:rPr>
              <w:t>Simon-Rusinowitz, L.,</w:t>
            </w:r>
            <w:r w:rsidR="002A0756" w:rsidRPr="002A7C6A">
              <w:rPr>
                <w:rFonts w:ascii="Calibri" w:hAnsi="Calibri"/>
                <w:sz w:val="20"/>
                <w:szCs w:val="20"/>
              </w:rPr>
              <w:t xml:space="preserve"> Loughlin, D.</w:t>
            </w:r>
            <w:r w:rsidRPr="002A7C6A">
              <w:rPr>
                <w:rFonts w:ascii="Calibri" w:hAnsi="Calibri"/>
                <w:sz w:val="20"/>
                <w:szCs w:val="20"/>
              </w:rPr>
              <w:t xml:space="preserve"> M.</w:t>
            </w:r>
            <w:r w:rsidR="002A0756" w:rsidRPr="002A7C6A">
              <w:rPr>
                <w:rFonts w:ascii="Calibri" w:hAnsi="Calibri"/>
                <w:sz w:val="20"/>
                <w:szCs w:val="20"/>
              </w:rPr>
              <w:t xml:space="preserve">, Ruben, K., &amp; Mahoney, K. (2010). What does research tell us about a policy option to hire relatives as caregivers? </w:t>
            </w:r>
            <w:r w:rsidR="002A0756" w:rsidRPr="002A7C6A">
              <w:rPr>
                <w:rFonts w:ascii="Calibri" w:hAnsi="Calibri"/>
                <w:i/>
                <w:sz w:val="20"/>
                <w:szCs w:val="20"/>
              </w:rPr>
              <w:t>Public Policy &amp; Aging Report</w:t>
            </w:r>
            <w:r w:rsidR="002A0756" w:rsidRPr="002A7C6A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2A0756" w:rsidRPr="002A7C6A">
              <w:rPr>
                <w:rFonts w:ascii="Calibri" w:hAnsi="Calibri"/>
                <w:i/>
                <w:sz w:val="20"/>
                <w:szCs w:val="20"/>
              </w:rPr>
              <w:t>20</w:t>
            </w:r>
            <w:r w:rsidR="002A0756" w:rsidRPr="002A7C6A">
              <w:rPr>
                <w:rFonts w:ascii="Calibri" w:hAnsi="Calibri"/>
                <w:sz w:val="20"/>
                <w:szCs w:val="20"/>
              </w:rPr>
              <w:t>(1), 32-37.</w:t>
            </w:r>
          </w:p>
          <w:p w:rsidR="007B4B1F" w:rsidRPr="002A7C6A" w:rsidRDefault="007B4B1F" w:rsidP="009A50B4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08" w:type="dxa"/>
          </w:tcPr>
          <w:p w:rsidR="00DD1236" w:rsidRDefault="00D6559C" w:rsidP="00BE09F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Video: </w:t>
            </w:r>
            <w:r w:rsidR="00EC6440" w:rsidRPr="00BE09F3">
              <w:rPr>
                <w:rFonts w:asciiTheme="majorHAnsi" w:hAnsiTheme="majorHAnsi"/>
                <w:i/>
                <w:sz w:val="20"/>
                <w:szCs w:val="20"/>
              </w:rPr>
              <w:t>How America’s Aging Netwo</w:t>
            </w:r>
            <w:r w:rsidR="00DD1236">
              <w:rPr>
                <w:rFonts w:asciiTheme="majorHAnsi" w:hAnsiTheme="majorHAnsi"/>
                <w:i/>
                <w:sz w:val="20"/>
                <w:szCs w:val="20"/>
              </w:rPr>
              <w:t>rk Works: At the Federal Level</w:t>
            </w:r>
          </w:p>
          <w:p w:rsidR="00D6559C" w:rsidRPr="00DD1236" w:rsidRDefault="00D6559C" w:rsidP="00BE09F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D1236">
              <w:rPr>
                <w:rFonts w:asciiTheme="majorHAnsi" w:hAnsiTheme="majorHAnsi"/>
                <w:sz w:val="20"/>
                <w:szCs w:val="20"/>
              </w:rPr>
              <w:t>A</w:t>
            </w:r>
            <w:r w:rsidR="00EC6440" w:rsidRPr="00DD1236">
              <w:rPr>
                <w:rFonts w:asciiTheme="majorHAnsi" w:hAnsiTheme="majorHAnsi"/>
                <w:sz w:val="20"/>
                <w:szCs w:val="20"/>
              </w:rPr>
              <w:t xml:space="preserve">n </w:t>
            </w:r>
            <w:r w:rsidR="00DD1236">
              <w:rPr>
                <w:rFonts w:asciiTheme="majorHAnsi" w:hAnsiTheme="majorHAnsi"/>
                <w:sz w:val="20"/>
                <w:szCs w:val="20"/>
              </w:rPr>
              <w:t>i</w:t>
            </w:r>
            <w:r w:rsidR="00EC6440" w:rsidRPr="00DD1236">
              <w:rPr>
                <w:rFonts w:asciiTheme="majorHAnsi" w:hAnsiTheme="majorHAnsi"/>
                <w:sz w:val="20"/>
                <w:szCs w:val="20"/>
              </w:rPr>
              <w:t>nterview with Kathy Greenlee, Assistant Secretary of Aging</w:t>
            </w:r>
          </w:p>
          <w:p w:rsidR="00EC6440" w:rsidRPr="00BE09F3" w:rsidRDefault="006067A3" w:rsidP="00BE09F3">
            <w:pPr>
              <w:autoSpaceDE w:val="0"/>
              <w:autoSpaceDN w:val="0"/>
              <w:adjustRightInd w:val="0"/>
              <w:rPr>
                <w:rStyle w:val="Hyperlink"/>
                <w:rFonts w:asciiTheme="majorHAnsi" w:hAnsiTheme="majorHAnsi"/>
                <w:i/>
                <w:sz w:val="20"/>
                <w:szCs w:val="20"/>
              </w:rPr>
            </w:pPr>
            <w:hyperlink r:id="rId20" w:history="1">
              <w:r w:rsidR="00EC6440" w:rsidRPr="00BE09F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http://www.youtube.com/watch?v=hNvVM8ab94s</w:t>
              </w:r>
            </w:hyperlink>
          </w:p>
          <w:p w:rsidR="00602776" w:rsidRPr="00ED153C" w:rsidRDefault="00602776" w:rsidP="00602776">
            <w:pPr>
              <w:pStyle w:val="CommentText"/>
              <w:rPr>
                <w:rFonts w:asciiTheme="majorHAnsi" w:hAnsiTheme="majorHAnsi"/>
                <w:b w:val="0"/>
              </w:rPr>
            </w:pPr>
          </w:p>
        </w:tc>
        <w:tc>
          <w:tcPr>
            <w:tcW w:w="3600" w:type="dxa"/>
          </w:tcPr>
          <w:p w:rsidR="00602776" w:rsidRPr="00ED153C" w:rsidRDefault="00602776" w:rsidP="00602776">
            <w:pPr>
              <w:pStyle w:val="CommentText"/>
              <w:rPr>
                <w:rFonts w:asciiTheme="majorHAnsi" w:hAnsiTheme="majorHAnsi"/>
                <w:b w:val="0"/>
              </w:rPr>
            </w:pPr>
          </w:p>
        </w:tc>
      </w:tr>
      <w:tr w:rsidR="004724E7" w:rsidRPr="00967016" w:rsidTr="002A3840">
        <w:trPr>
          <w:jc w:val="center"/>
        </w:trPr>
        <w:tc>
          <w:tcPr>
            <w:tcW w:w="14688" w:type="dxa"/>
            <w:gridSpan w:val="4"/>
            <w:shd w:val="clear" w:color="auto" w:fill="1F497D" w:themeFill="text2"/>
          </w:tcPr>
          <w:p w:rsidR="004724E7" w:rsidRPr="00967016" w:rsidRDefault="004724E7" w:rsidP="005A6087">
            <w:pPr>
              <w:pStyle w:val="CommentText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967016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lastRenderedPageBreak/>
              <w:t>EPAS 2.1.10 (b) – Assess with individuals, families, groups, organizations, and communities.</w:t>
            </w:r>
          </w:p>
        </w:tc>
      </w:tr>
      <w:tr w:rsidR="00D202E2" w:rsidRPr="00A37FA9" w:rsidTr="004724E7">
        <w:trPr>
          <w:jc w:val="center"/>
        </w:trPr>
        <w:tc>
          <w:tcPr>
            <w:tcW w:w="2880" w:type="dxa"/>
            <w:shd w:val="clear" w:color="auto" w:fill="DBE5F1" w:themeFill="accent1" w:themeFillTint="33"/>
          </w:tcPr>
          <w:p w:rsidR="00D202E2" w:rsidRPr="00A37FA9" w:rsidRDefault="00D202E2" w:rsidP="00932B3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PC/PD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Competenc</w:t>
            </w:r>
            <w:r w:rsidR="00932B3A">
              <w:rPr>
                <w:rFonts w:asciiTheme="majorHAnsi" w:hAnsiTheme="majorHAnsi"/>
                <w:b/>
                <w:sz w:val="20"/>
                <w:szCs w:val="20"/>
              </w:rPr>
              <w:t>ies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Pr="00A37FA9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Readings</w:t>
            </w:r>
          </w:p>
        </w:tc>
        <w:tc>
          <w:tcPr>
            <w:tcW w:w="4608" w:type="dxa"/>
            <w:shd w:val="clear" w:color="auto" w:fill="DBE5F1" w:themeFill="accent1" w:themeFillTint="33"/>
          </w:tcPr>
          <w:p w:rsidR="00D202E2" w:rsidRPr="00A37FA9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Class Exercises and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Media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Assignments</w:t>
            </w:r>
          </w:p>
        </w:tc>
      </w:tr>
      <w:tr w:rsidR="006E30DB" w:rsidRPr="00ED153C" w:rsidTr="00D6559C">
        <w:trPr>
          <w:trHeight w:val="1259"/>
          <w:jc w:val="center"/>
        </w:trPr>
        <w:tc>
          <w:tcPr>
            <w:tcW w:w="2880" w:type="dxa"/>
          </w:tcPr>
          <w:p w:rsidR="00D6559C" w:rsidRDefault="00F002C2" w:rsidP="00D6559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Demonstrate active listening and engagement skills in order to understand the person’s approach, views, what is important to and for him/her</w:t>
            </w:r>
            <w:r w:rsidR="00D6559C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:rsidR="007B4B1F" w:rsidRPr="00ED153C" w:rsidRDefault="007B4B1F" w:rsidP="00D6559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446CD7" w:rsidRPr="002A7C6A" w:rsidRDefault="00446CD7" w:rsidP="00835A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2A7C6A">
              <w:rPr>
                <w:rFonts w:asciiTheme="majorHAnsi" w:hAnsiTheme="majorHAnsi"/>
                <w:b w:val="0"/>
                <w:sz w:val="20"/>
                <w:szCs w:val="20"/>
              </w:rPr>
              <w:t xml:space="preserve">Mast, B. T. (2013). Bringing person-centered care to people with early-stage Alzheimer’s. </w:t>
            </w:r>
            <w:r w:rsidRPr="002A7C6A">
              <w:rPr>
                <w:rFonts w:asciiTheme="majorHAnsi" w:hAnsiTheme="majorHAnsi"/>
                <w:b w:val="0"/>
                <w:i/>
                <w:sz w:val="20"/>
                <w:szCs w:val="20"/>
              </w:rPr>
              <w:t>Generations,</w:t>
            </w:r>
            <w:r w:rsidRPr="002A7C6A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Pr="002A7C6A">
              <w:rPr>
                <w:rFonts w:asciiTheme="majorHAnsi" w:hAnsiTheme="majorHAnsi"/>
                <w:b w:val="0"/>
                <w:i/>
                <w:sz w:val="20"/>
                <w:szCs w:val="20"/>
              </w:rPr>
              <w:t>37</w:t>
            </w:r>
            <w:r w:rsidRPr="002A7C6A">
              <w:rPr>
                <w:rFonts w:asciiTheme="majorHAnsi" w:hAnsiTheme="majorHAnsi"/>
                <w:b w:val="0"/>
                <w:sz w:val="20"/>
                <w:szCs w:val="20"/>
              </w:rPr>
              <w:t>(3), 63-65.</w:t>
            </w:r>
          </w:p>
          <w:p w:rsidR="00446CD7" w:rsidRPr="002A7C6A" w:rsidRDefault="00446CD7" w:rsidP="00835A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  <w:tc>
          <w:tcPr>
            <w:tcW w:w="4608" w:type="dxa"/>
          </w:tcPr>
          <w:p w:rsidR="00446CD7" w:rsidRPr="00ED153C" w:rsidRDefault="00446CD7" w:rsidP="00482B7C">
            <w:pPr>
              <w:pStyle w:val="CommentText"/>
              <w:rPr>
                <w:rFonts w:asciiTheme="majorHAnsi" w:hAnsiTheme="majorHAnsi"/>
                <w:b w:val="0"/>
              </w:rPr>
            </w:pPr>
          </w:p>
        </w:tc>
        <w:tc>
          <w:tcPr>
            <w:tcW w:w="3600" w:type="dxa"/>
          </w:tcPr>
          <w:p w:rsidR="00446CD7" w:rsidRPr="00ED153C" w:rsidRDefault="00446CD7" w:rsidP="00482B7C">
            <w:pPr>
              <w:pStyle w:val="CommentText"/>
              <w:rPr>
                <w:rFonts w:asciiTheme="majorHAnsi" w:hAnsiTheme="majorHAnsi"/>
                <w:b w:val="0"/>
              </w:rPr>
            </w:pPr>
          </w:p>
        </w:tc>
      </w:tr>
      <w:tr w:rsidR="007B4B1F" w:rsidRPr="007B4B1F" w:rsidTr="00652AC5">
        <w:trPr>
          <w:jc w:val="center"/>
        </w:trPr>
        <w:tc>
          <w:tcPr>
            <w:tcW w:w="14688" w:type="dxa"/>
            <w:gridSpan w:val="4"/>
            <w:shd w:val="clear" w:color="auto" w:fill="1F497D" w:themeFill="text2"/>
          </w:tcPr>
          <w:p w:rsidR="004724E7" w:rsidRPr="007B4B1F" w:rsidRDefault="004724E7" w:rsidP="00DB7237">
            <w:pPr>
              <w:pStyle w:val="CommentText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7B4B1F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EPAS 2.1.10 (c) – Intervene with individuals, families, groups, organizations, and communities.</w:t>
            </w:r>
          </w:p>
        </w:tc>
      </w:tr>
      <w:tr w:rsidR="00D202E2" w:rsidRPr="00A37FA9" w:rsidTr="004724E7">
        <w:trPr>
          <w:jc w:val="center"/>
        </w:trPr>
        <w:tc>
          <w:tcPr>
            <w:tcW w:w="2880" w:type="dxa"/>
            <w:shd w:val="clear" w:color="auto" w:fill="DBE5F1" w:themeFill="accent1" w:themeFillTint="33"/>
          </w:tcPr>
          <w:p w:rsidR="00D202E2" w:rsidRPr="00A37FA9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PC/PD </w:t>
            </w:r>
            <w:r w:rsidR="00932B3A">
              <w:rPr>
                <w:rFonts w:asciiTheme="majorHAnsi" w:hAnsiTheme="majorHAnsi"/>
                <w:b/>
                <w:sz w:val="20"/>
                <w:szCs w:val="20"/>
              </w:rPr>
              <w:t>Competencies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Pr="002A7C6A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A7C6A">
              <w:rPr>
                <w:rFonts w:asciiTheme="majorHAnsi" w:hAnsiTheme="majorHAnsi"/>
                <w:b/>
                <w:sz w:val="20"/>
                <w:szCs w:val="20"/>
              </w:rPr>
              <w:t>Readings</w:t>
            </w:r>
          </w:p>
        </w:tc>
        <w:tc>
          <w:tcPr>
            <w:tcW w:w="4608" w:type="dxa"/>
            <w:shd w:val="clear" w:color="auto" w:fill="DBE5F1" w:themeFill="accent1" w:themeFillTint="33"/>
          </w:tcPr>
          <w:p w:rsidR="00D202E2" w:rsidRPr="00A37FA9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Class Exercises and </w:t>
            </w:r>
            <w:r w:rsidRPr="00A37FA9">
              <w:rPr>
                <w:rFonts w:asciiTheme="majorHAnsi" w:hAnsiTheme="majorHAnsi"/>
                <w:b/>
                <w:sz w:val="20"/>
                <w:szCs w:val="20"/>
              </w:rPr>
              <w:t>Media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D202E2" w:rsidRDefault="00D202E2" w:rsidP="00DB72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Assignments</w:t>
            </w:r>
          </w:p>
        </w:tc>
      </w:tr>
      <w:tr w:rsidR="006E30DB" w:rsidRPr="00ED153C" w:rsidTr="004724E7">
        <w:trPr>
          <w:jc w:val="center"/>
        </w:trPr>
        <w:tc>
          <w:tcPr>
            <w:tcW w:w="2880" w:type="dxa"/>
          </w:tcPr>
          <w:p w:rsidR="00446CD7" w:rsidRPr="00392BB4" w:rsidRDefault="00446CD7" w:rsidP="00482B7C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392BB4">
              <w:rPr>
                <w:rFonts w:asciiTheme="majorHAnsi" w:hAnsiTheme="majorHAnsi" w:cs="Times New Roman"/>
                <w:sz w:val="20"/>
                <w:szCs w:val="20"/>
              </w:rPr>
              <w:t>Apply a strengths-based approach and build on individuals</w:t>
            </w:r>
            <w:r w:rsidR="00AA21D9">
              <w:rPr>
                <w:rFonts w:asciiTheme="majorHAnsi" w:hAnsiTheme="majorHAnsi" w:cs="Times New Roman"/>
                <w:sz w:val="20"/>
                <w:szCs w:val="20"/>
              </w:rPr>
              <w:t>’</w:t>
            </w:r>
            <w:r w:rsidRPr="00392BB4">
              <w:rPr>
                <w:rFonts w:asciiTheme="majorHAnsi" w:hAnsiTheme="majorHAnsi" w:cs="Times New Roman"/>
                <w:sz w:val="20"/>
                <w:szCs w:val="20"/>
              </w:rPr>
              <w:t xml:space="preserve"> strengths, values, preferences, and goals.</w:t>
            </w:r>
          </w:p>
          <w:p w:rsidR="00446CD7" w:rsidRDefault="00446CD7" w:rsidP="00670DE1">
            <w:pPr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392BB4">
              <w:rPr>
                <w:rFonts w:asciiTheme="majorHAnsi" w:hAnsiTheme="majorHAnsi" w:cs="Times New Roman"/>
                <w:iCs/>
                <w:sz w:val="20"/>
                <w:szCs w:val="20"/>
              </w:rPr>
              <w:t>Identify the roles and responsibilities of the social worker and participant in a participant-directed service model.</w:t>
            </w:r>
          </w:p>
          <w:p w:rsidR="00446CD7" w:rsidRPr="00392BB4" w:rsidRDefault="00446CD7" w:rsidP="00670D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446CD7" w:rsidRPr="002A7C6A" w:rsidRDefault="00446CD7" w:rsidP="00670DE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2A7C6A">
              <w:rPr>
                <w:rFonts w:asciiTheme="majorHAnsi" w:hAnsiTheme="majorHAnsi"/>
                <w:b w:val="0"/>
                <w:sz w:val="20"/>
                <w:szCs w:val="20"/>
              </w:rPr>
              <w:t xml:space="preserve">National Resource Center for Participant-Directed Services. (2010). </w:t>
            </w:r>
            <w:r w:rsidR="00472817" w:rsidRPr="002A7C6A">
              <w:rPr>
                <w:rFonts w:asciiTheme="majorHAnsi" w:hAnsiTheme="majorHAnsi"/>
                <w:b w:val="0"/>
                <w:i/>
                <w:sz w:val="20"/>
                <w:szCs w:val="20"/>
              </w:rPr>
              <w:t>Developing &amp; Implementing Participant Direction Programs &amp; Policies: A Handbook.</w:t>
            </w:r>
          </w:p>
          <w:p w:rsidR="00612CCA" w:rsidRPr="002A7C6A" w:rsidRDefault="00612CCA" w:rsidP="00670DE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2A7C6A">
              <w:rPr>
                <w:rFonts w:asciiTheme="majorHAnsi" w:hAnsiTheme="majorHAnsi"/>
                <w:b w:val="0"/>
                <w:sz w:val="20"/>
                <w:szCs w:val="20"/>
              </w:rPr>
              <w:t xml:space="preserve">Chapter 6, </w:t>
            </w:r>
            <w:r w:rsidRPr="002A7C6A">
              <w:rPr>
                <w:rFonts w:asciiTheme="majorHAnsi" w:hAnsiTheme="majorHAnsi"/>
                <w:b w:val="0"/>
                <w:i/>
                <w:sz w:val="20"/>
                <w:szCs w:val="20"/>
              </w:rPr>
              <w:t>Counseling</w:t>
            </w:r>
            <w:r w:rsidRPr="002A7C6A">
              <w:rPr>
                <w:rFonts w:asciiTheme="majorHAnsi" w:hAnsiTheme="majorHAnsi"/>
                <w:b w:val="0"/>
                <w:sz w:val="20"/>
                <w:szCs w:val="20"/>
              </w:rPr>
              <w:t>, pp. 6-1 thru 6-17</w:t>
            </w:r>
          </w:p>
          <w:p w:rsidR="00446CD7" w:rsidRPr="002A7C6A" w:rsidRDefault="00446CD7" w:rsidP="00482B7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8" w:type="dxa"/>
          </w:tcPr>
          <w:p w:rsidR="00446CD7" w:rsidRDefault="00446CD7" w:rsidP="00482B7C">
            <w:pPr>
              <w:pStyle w:val="CommentText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</w:rPr>
              <w:t xml:space="preserve">Video: </w:t>
            </w:r>
            <w:r>
              <w:rPr>
                <w:rFonts w:asciiTheme="majorHAnsi" w:hAnsiTheme="majorHAnsi"/>
                <w:b w:val="0"/>
                <w:i/>
              </w:rPr>
              <w:t>Tanya's Story.</w:t>
            </w:r>
          </w:p>
          <w:p w:rsidR="00446CD7" w:rsidRDefault="00446CD7" w:rsidP="00482B7C">
            <w:pPr>
              <w:pStyle w:val="CommentText"/>
              <w:rPr>
                <w:rFonts w:asciiTheme="majorHAnsi" w:hAnsiTheme="majorHAnsi"/>
                <w:b w:val="0"/>
              </w:rPr>
            </w:pPr>
            <w:r w:rsidRPr="00ED153C">
              <w:rPr>
                <w:rFonts w:asciiTheme="majorHAnsi" w:hAnsiTheme="majorHAnsi"/>
                <w:b w:val="0"/>
              </w:rPr>
              <w:t>Young adult with developmental disabilities and benefits of participant-directed care</w:t>
            </w:r>
            <w:r>
              <w:rPr>
                <w:rFonts w:asciiTheme="majorHAnsi" w:hAnsiTheme="majorHAnsi"/>
                <w:b w:val="0"/>
              </w:rPr>
              <w:t>.</w:t>
            </w:r>
          </w:p>
          <w:p w:rsidR="00446CD7" w:rsidRDefault="006067A3" w:rsidP="00482B7C">
            <w:pPr>
              <w:pStyle w:val="CommentText"/>
              <w:rPr>
                <w:rFonts w:asciiTheme="majorHAnsi" w:hAnsiTheme="majorHAnsi"/>
                <w:b w:val="0"/>
              </w:rPr>
            </w:pPr>
            <w:hyperlink r:id="rId21" w:history="1">
              <w:r w:rsidR="00446CD7" w:rsidRPr="003768EF">
                <w:rPr>
                  <w:rStyle w:val="Hyperlink"/>
                  <w:rFonts w:asciiTheme="majorHAnsi" w:hAnsiTheme="majorHAnsi"/>
                  <w:b w:val="0"/>
                </w:rPr>
                <w:t>https://www.youtube.com/watch?v=1mEyAieDo0o</w:t>
              </w:r>
            </w:hyperlink>
          </w:p>
          <w:p w:rsidR="00446CD7" w:rsidRDefault="00446CD7" w:rsidP="00482B7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E61D4" w:rsidRDefault="004E61D4" w:rsidP="00482B7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Film: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Wit</w:t>
            </w:r>
          </w:p>
          <w:p w:rsidR="004136A6" w:rsidRDefault="004E61D4" w:rsidP="000C49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2001</w:t>
            </w:r>
            <w:r w:rsidR="000C4931">
              <w:rPr>
                <w:rFonts w:asciiTheme="majorHAnsi" w:hAnsiTheme="majorHAnsi"/>
                <w:sz w:val="20"/>
                <w:szCs w:val="20"/>
              </w:rPr>
              <w:t xml:space="preserve"> award winning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movie </w:t>
            </w:r>
            <w:r w:rsidRPr="004E61D4">
              <w:rPr>
                <w:rFonts w:asciiTheme="majorHAnsi" w:hAnsiTheme="majorHAnsi"/>
                <w:sz w:val="20"/>
                <w:szCs w:val="20"/>
              </w:rPr>
              <w:t>illuminat</w:t>
            </w:r>
            <w:r>
              <w:rPr>
                <w:rFonts w:asciiTheme="majorHAnsi" w:hAnsiTheme="majorHAnsi"/>
                <w:sz w:val="20"/>
                <w:szCs w:val="20"/>
              </w:rPr>
              <w:t>ing a woman’s</w:t>
            </w:r>
            <w:r w:rsidRPr="004E61D4">
              <w:rPr>
                <w:rFonts w:asciiTheme="majorHAnsi" w:hAnsiTheme="majorHAnsi"/>
                <w:sz w:val="20"/>
                <w:szCs w:val="20"/>
              </w:rPr>
              <w:t xml:space="preserve"> deeply moving struggle for dignity, meaning, and peace </w:t>
            </w:r>
            <w:r>
              <w:rPr>
                <w:rFonts w:asciiTheme="majorHAnsi" w:hAnsiTheme="majorHAnsi"/>
                <w:sz w:val="20"/>
                <w:szCs w:val="20"/>
              </w:rPr>
              <w:t>as she deals with her cancer diagnosis, treatment, and</w:t>
            </w:r>
            <w:r w:rsidR="004C6F2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C4931">
              <w:rPr>
                <w:rFonts w:asciiTheme="majorHAnsi" w:hAnsiTheme="majorHAnsi"/>
                <w:sz w:val="20"/>
                <w:szCs w:val="20"/>
              </w:rPr>
              <w:t>dying</w:t>
            </w:r>
            <w:r w:rsidR="004C6F21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:rsidR="007344B5" w:rsidRDefault="004C6F21" w:rsidP="000C49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="004E61D4">
              <w:rPr>
                <w:rFonts w:asciiTheme="majorHAnsi" w:hAnsiTheme="majorHAnsi"/>
                <w:sz w:val="20"/>
                <w:szCs w:val="20"/>
              </w:rPr>
              <w:t>eadily available in libraries and online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B4B1F" w:rsidRPr="004E61D4" w:rsidRDefault="007B4B1F" w:rsidP="000C49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446CD7" w:rsidRDefault="001933A4" w:rsidP="001933A4">
            <w:pPr>
              <w:pStyle w:val="ListParagraph"/>
              <w:ind w:left="0"/>
              <w:rPr>
                <w:rFonts w:asciiTheme="majorHAnsi" w:hAnsiTheme="majorHAnsi"/>
                <w:i/>
                <w:sz w:val="20"/>
                <w:szCs w:val="20"/>
              </w:rPr>
            </w:pPr>
            <w:r w:rsidRPr="001933A4">
              <w:rPr>
                <w:rFonts w:asciiTheme="majorHAnsi" w:hAnsiTheme="majorHAnsi"/>
                <w:i/>
                <w:sz w:val="20"/>
                <w:szCs w:val="20"/>
              </w:rPr>
              <w:t>Agency Service Delivery Model Analysis</w:t>
            </w:r>
          </w:p>
          <w:p w:rsidR="001933A4" w:rsidRPr="001933A4" w:rsidRDefault="001933A4" w:rsidP="001933A4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Students</w:t>
            </w:r>
            <w:r w:rsidRPr="001933A4">
              <w:rPr>
                <w:rFonts w:asciiTheme="majorHAnsi" w:hAnsiTheme="majorHAnsi"/>
                <w:sz w:val="20"/>
                <w:szCs w:val="20"/>
              </w:rPr>
              <w:t xml:space="preserve"> analy</w:t>
            </w:r>
            <w:r>
              <w:rPr>
                <w:rFonts w:asciiTheme="majorHAnsi" w:hAnsiTheme="majorHAnsi"/>
                <w:sz w:val="20"/>
                <w:szCs w:val="20"/>
              </w:rPr>
              <w:t>ze</w:t>
            </w:r>
            <w:r w:rsidRPr="001933A4">
              <w:rPr>
                <w:rFonts w:asciiTheme="majorHAnsi" w:hAnsiTheme="majorHAnsi"/>
                <w:sz w:val="20"/>
                <w:szCs w:val="20"/>
              </w:rPr>
              <w:t xml:space="preserve"> how </w:t>
            </w:r>
            <w:r>
              <w:rPr>
                <w:rFonts w:asciiTheme="majorHAnsi" w:hAnsiTheme="majorHAnsi"/>
                <w:sz w:val="20"/>
                <w:szCs w:val="20"/>
              </w:rPr>
              <w:t>an</w:t>
            </w:r>
            <w:r w:rsidRPr="001933A4">
              <w:rPr>
                <w:rFonts w:asciiTheme="majorHAnsi" w:hAnsiTheme="majorHAnsi"/>
                <w:sz w:val="20"/>
                <w:szCs w:val="20"/>
              </w:rPr>
              <w:t xml:space="preserve"> agency’s service delivery model could be more empowering to foster consumers’ strengths and participant-directedness and to address social justice issues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E30DB" w:rsidRPr="00ED153C" w:rsidTr="004724E7">
        <w:trPr>
          <w:jc w:val="center"/>
        </w:trPr>
        <w:tc>
          <w:tcPr>
            <w:tcW w:w="2880" w:type="dxa"/>
          </w:tcPr>
          <w:p w:rsidR="00446CD7" w:rsidRDefault="00446CD7" w:rsidP="00482B7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92BB4">
              <w:rPr>
                <w:rFonts w:asciiTheme="majorHAnsi" w:hAnsiTheme="majorHAnsi"/>
                <w:color w:val="000000"/>
                <w:sz w:val="20"/>
                <w:szCs w:val="20"/>
              </w:rPr>
              <w:t>Describe the philosophy and service model of person-centeredness in the context of social work as well as the roles and responsibilities of social workers, consumers, and agencies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  <w:p w:rsidR="00446CD7" w:rsidRPr="00392BB4" w:rsidRDefault="00446CD7" w:rsidP="00482B7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446CD7" w:rsidRPr="002A7C6A" w:rsidRDefault="00446CD7" w:rsidP="00E36BB5">
            <w:pPr>
              <w:rPr>
                <w:rFonts w:asciiTheme="majorHAnsi" w:hAnsiTheme="majorHAnsi"/>
                <w:sz w:val="20"/>
                <w:szCs w:val="20"/>
              </w:rPr>
            </w:pPr>
            <w:r w:rsidRPr="002A7C6A">
              <w:rPr>
                <w:rFonts w:asciiTheme="majorHAnsi" w:hAnsiTheme="majorHAnsi"/>
                <w:sz w:val="20"/>
                <w:szCs w:val="20"/>
              </w:rPr>
              <w:t xml:space="preserve">Love, K., &amp; Pinkowitz, J. (2013). Person-centered care for people with dementia: A theoretical and conceptual framework. </w:t>
            </w:r>
            <w:r w:rsidRPr="002A7C6A">
              <w:rPr>
                <w:rFonts w:asciiTheme="majorHAnsi" w:hAnsiTheme="majorHAnsi"/>
                <w:i/>
                <w:sz w:val="20"/>
                <w:szCs w:val="20"/>
              </w:rPr>
              <w:t>Generations, 37</w:t>
            </w:r>
            <w:r w:rsidRPr="002A7C6A">
              <w:rPr>
                <w:rFonts w:asciiTheme="majorHAnsi" w:hAnsiTheme="majorHAnsi"/>
                <w:sz w:val="20"/>
                <w:szCs w:val="20"/>
              </w:rPr>
              <w:t>(3), 23-29.</w:t>
            </w:r>
          </w:p>
        </w:tc>
        <w:tc>
          <w:tcPr>
            <w:tcW w:w="4608" w:type="dxa"/>
          </w:tcPr>
          <w:p w:rsidR="00446CD7" w:rsidRPr="00ED153C" w:rsidRDefault="00446CD7" w:rsidP="00482B7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446CD7" w:rsidRPr="00ED153C" w:rsidRDefault="00446CD7" w:rsidP="00482B7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77719" w:rsidRDefault="00177719" w:rsidP="00EB34EB"/>
    <w:sectPr w:rsidR="00177719" w:rsidSect="00597D10">
      <w:headerReference w:type="default" r:id="rId22"/>
      <w:footerReference w:type="default" r:id="rId23"/>
      <w:pgSz w:w="15840" w:h="12240" w:orient="landscape" w:code="1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A3" w:rsidRDefault="006067A3" w:rsidP="00A57EB8">
      <w:r>
        <w:separator/>
      </w:r>
    </w:p>
  </w:endnote>
  <w:endnote w:type="continuationSeparator" w:id="0">
    <w:p w:rsidR="006067A3" w:rsidRDefault="006067A3" w:rsidP="00A5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745632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  <w:szCs w:val="20"/>
      </w:rPr>
    </w:sdtEndPr>
    <w:sdtContent>
      <w:p w:rsidR="004724E7" w:rsidRPr="004724E7" w:rsidRDefault="004724E7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4724E7">
          <w:rPr>
            <w:rFonts w:asciiTheme="majorHAnsi" w:hAnsiTheme="majorHAnsi"/>
            <w:sz w:val="20"/>
            <w:szCs w:val="20"/>
          </w:rPr>
          <w:fldChar w:fldCharType="begin"/>
        </w:r>
        <w:r w:rsidRPr="004724E7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4724E7">
          <w:rPr>
            <w:rFonts w:asciiTheme="majorHAnsi" w:hAnsiTheme="majorHAnsi"/>
            <w:sz w:val="20"/>
            <w:szCs w:val="20"/>
          </w:rPr>
          <w:fldChar w:fldCharType="separate"/>
        </w:r>
        <w:r w:rsidR="002360C6">
          <w:rPr>
            <w:rFonts w:asciiTheme="majorHAnsi" w:hAnsiTheme="majorHAnsi"/>
            <w:noProof/>
            <w:sz w:val="20"/>
            <w:szCs w:val="20"/>
          </w:rPr>
          <w:t>1</w:t>
        </w:r>
        <w:r w:rsidRPr="004724E7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A3" w:rsidRDefault="006067A3" w:rsidP="00A57EB8">
      <w:r>
        <w:separator/>
      </w:r>
    </w:p>
  </w:footnote>
  <w:footnote w:type="continuationSeparator" w:id="0">
    <w:p w:rsidR="006067A3" w:rsidRDefault="006067A3" w:rsidP="00A57EB8">
      <w:r>
        <w:continuationSeparator/>
      </w:r>
    </w:p>
  </w:footnote>
  <w:footnote w:id="1">
    <w:p w:rsidR="00A57EB8" w:rsidRPr="006E30DB" w:rsidRDefault="00A57EB8">
      <w:pPr>
        <w:pStyle w:val="FootnoteText"/>
        <w:rPr>
          <w:rFonts w:ascii="Calibri" w:hAnsi="Calibri"/>
          <w:sz w:val="18"/>
          <w:szCs w:val="18"/>
        </w:rPr>
      </w:pPr>
      <w:r w:rsidRPr="006E30DB">
        <w:rPr>
          <w:rStyle w:val="FootnoteReference"/>
          <w:rFonts w:ascii="Calibri" w:hAnsi="Calibri"/>
          <w:sz w:val="18"/>
          <w:szCs w:val="18"/>
        </w:rPr>
        <w:footnoteRef/>
      </w:r>
      <w:r w:rsidRPr="006E30DB">
        <w:rPr>
          <w:rFonts w:ascii="Calibri" w:hAnsi="Calibri"/>
          <w:sz w:val="18"/>
          <w:szCs w:val="18"/>
        </w:rPr>
        <w:t xml:space="preserve"> For the purposes of this project, </w:t>
      </w:r>
      <w:r w:rsidR="00311819" w:rsidRPr="006E30DB">
        <w:rPr>
          <w:rFonts w:ascii="Calibri" w:hAnsi="Calibri"/>
          <w:sz w:val="18"/>
          <w:szCs w:val="18"/>
        </w:rPr>
        <w:t>the term “competency” is used in place of “practice behaviors.”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211212"/>
      <w:docPartObj>
        <w:docPartGallery w:val="Watermarks"/>
        <w:docPartUnique/>
      </w:docPartObj>
    </w:sdtPr>
    <w:sdtEndPr/>
    <w:sdtContent>
      <w:p w:rsidR="00EB34EB" w:rsidRDefault="006067A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A45"/>
    <w:multiLevelType w:val="hybridMultilevel"/>
    <w:tmpl w:val="03A4F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F7"/>
    <w:multiLevelType w:val="singleLevel"/>
    <w:tmpl w:val="62641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5C52AC4"/>
    <w:multiLevelType w:val="hybridMultilevel"/>
    <w:tmpl w:val="5B08D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977D6"/>
    <w:multiLevelType w:val="hybridMultilevel"/>
    <w:tmpl w:val="E65AB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C24F5E"/>
    <w:multiLevelType w:val="hybridMultilevel"/>
    <w:tmpl w:val="555E6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421C2"/>
    <w:multiLevelType w:val="hybridMultilevel"/>
    <w:tmpl w:val="9866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0AF190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D5340"/>
    <w:multiLevelType w:val="hybridMultilevel"/>
    <w:tmpl w:val="815C4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25CEA"/>
    <w:multiLevelType w:val="hybridMultilevel"/>
    <w:tmpl w:val="20ACE076"/>
    <w:lvl w:ilvl="0" w:tplc="435EE42A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AE17B6"/>
    <w:multiLevelType w:val="singleLevel"/>
    <w:tmpl w:val="A3E65B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40B129F"/>
    <w:multiLevelType w:val="hybridMultilevel"/>
    <w:tmpl w:val="2EAAACD0"/>
    <w:lvl w:ilvl="0" w:tplc="81D41050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6451559"/>
    <w:multiLevelType w:val="hybridMultilevel"/>
    <w:tmpl w:val="12BAA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88053D"/>
    <w:multiLevelType w:val="hybridMultilevel"/>
    <w:tmpl w:val="4678E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28"/>
    <w:rsid w:val="000073AC"/>
    <w:rsid w:val="000C448C"/>
    <w:rsid w:val="000C4828"/>
    <w:rsid w:val="000C4931"/>
    <w:rsid w:val="00177719"/>
    <w:rsid w:val="001933A4"/>
    <w:rsid w:val="001F55F2"/>
    <w:rsid w:val="00205E39"/>
    <w:rsid w:val="002360C6"/>
    <w:rsid w:val="00270039"/>
    <w:rsid w:val="00292171"/>
    <w:rsid w:val="002A0756"/>
    <w:rsid w:val="002A7C6A"/>
    <w:rsid w:val="002B2F66"/>
    <w:rsid w:val="002C0364"/>
    <w:rsid w:val="002C419C"/>
    <w:rsid w:val="002F4841"/>
    <w:rsid w:val="003066D4"/>
    <w:rsid w:val="00311819"/>
    <w:rsid w:val="0031316D"/>
    <w:rsid w:val="00392BB4"/>
    <w:rsid w:val="003C0CE8"/>
    <w:rsid w:val="003D741B"/>
    <w:rsid w:val="00410283"/>
    <w:rsid w:val="004136A6"/>
    <w:rsid w:val="0044130B"/>
    <w:rsid w:val="00446CD7"/>
    <w:rsid w:val="0046378D"/>
    <w:rsid w:val="004724E7"/>
    <w:rsid w:val="00472817"/>
    <w:rsid w:val="00482B7C"/>
    <w:rsid w:val="004A3440"/>
    <w:rsid w:val="004B40DA"/>
    <w:rsid w:val="004C6F21"/>
    <w:rsid w:val="004E61D4"/>
    <w:rsid w:val="005972BC"/>
    <w:rsid w:val="00597D10"/>
    <w:rsid w:val="005A6087"/>
    <w:rsid w:val="005B29F4"/>
    <w:rsid w:val="005C46B3"/>
    <w:rsid w:val="005E6143"/>
    <w:rsid w:val="00602776"/>
    <w:rsid w:val="00602D41"/>
    <w:rsid w:val="006067A3"/>
    <w:rsid w:val="00610F96"/>
    <w:rsid w:val="00612CCA"/>
    <w:rsid w:val="006457DD"/>
    <w:rsid w:val="00670DE1"/>
    <w:rsid w:val="00674D1A"/>
    <w:rsid w:val="006D36C2"/>
    <w:rsid w:val="006E30DB"/>
    <w:rsid w:val="006F43A7"/>
    <w:rsid w:val="007344B5"/>
    <w:rsid w:val="007552EB"/>
    <w:rsid w:val="00764B72"/>
    <w:rsid w:val="00780655"/>
    <w:rsid w:val="00790C37"/>
    <w:rsid w:val="00797CCA"/>
    <w:rsid w:val="007B4B1F"/>
    <w:rsid w:val="007C3D73"/>
    <w:rsid w:val="008014E4"/>
    <w:rsid w:val="00835A19"/>
    <w:rsid w:val="00864C23"/>
    <w:rsid w:val="00923F55"/>
    <w:rsid w:val="00932B3A"/>
    <w:rsid w:val="00967016"/>
    <w:rsid w:val="009739F2"/>
    <w:rsid w:val="009765B0"/>
    <w:rsid w:val="009A50B4"/>
    <w:rsid w:val="00A00C77"/>
    <w:rsid w:val="00A37FA9"/>
    <w:rsid w:val="00A463B5"/>
    <w:rsid w:val="00A57EB8"/>
    <w:rsid w:val="00A92888"/>
    <w:rsid w:val="00A92A87"/>
    <w:rsid w:val="00A9637E"/>
    <w:rsid w:val="00AA21D9"/>
    <w:rsid w:val="00AA40C2"/>
    <w:rsid w:val="00AF4093"/>
    <w:rsid w:val="00AF524F"/>
    <w:rsid w:val="00B72E1B"/>
    <w:rsid w:val="00B91680"/>
    <w:rsid w:val="00BC323F"/>
    <w:rsid w:val="00BC3811"/>
    <w:rsid w:val="00BE09F3"/>
    <w:rsid w:val="00BF1888"/>
    <w:rsid w:val="00BF311F"/>
    <w:rsid w:val="00C155A7"/>
    <w:rsid w:val="00C45710"/>
    <w:rsid w:val="00C52353"/>
    <w:rsid w:val="00D0385F"/>
    <w:rsid w:val="00D202E2"/>
    <w:rsid w:val="00D27EAC"/>
    <w:rsid w:val="00D6559C"/>
    <w:rsid w:val="00D82887"/>
    <w:rsid w:val="00DB3EB6"/>
    <w:rsid w:val="00DD1236"/>
    <w:rsid w:val="00DF3E82"/>
    <w:rsid w:val="00DF637A"/>
    <w:rsid w:val="00E30276"/>
    <w:rsid w:val="00E36BB5"/>
    <w:rsid w:val="00E451E5"/>
    <w:rsid w:val="00E55CFB"/>
    <w:rsid w:val="00E9686E"/>
    <w:rsid w:val="00EB34EB"/>
    <w:rsid w:val="00EC6440"/>
    <w:rsid w:val="00ED153C"/>
    <w:rsid w:val="00F002C2"/>
    <w:rsid w:val="00FD417F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docId w15:val="{13EFC399-18AB-429C-BF62-30D8F4B1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819"/>
  </w:style>
  <w:style w:type="paragraph" w:styleId="Heading1">
    <w:name w:val="heading 1"/>
    <w:basedOn w:val="Normal"/>
    <w:next w:val="Normal"/>
    <w:link w:val="Heading1Char"/>
    <w:qFormat/>
    <w:rsid w:val="00FE714D"/>
    <w:pPr>
      <w:keepNext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0C48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482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0C4828"/>
    <w:rPr>
      <w:i/>
      <w:iCs/>
    </w:rPr>
  </w:style>
  <w:style w:type="paragraph" w:styleId="NormalWeb">
    <w:name w:val="Normal (Web)"/>
    <w:basedOn w:val="Normal"/>
    <w:uiPriority w:val="99"/>
    <w:unhideWhenUsed/>
    <w:rsid w:val="000C482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0C4828"/>
    <w:pPr>
      <w:ind w:left="720"/>
      <w:contextualSpacing/>
    </w:pPr>
  </w:style>
  <w:style w:type="character" w:styleId="Hyperlink">
    <w:name w:val="Hyperlink"/>
    <w:basedOn w:val="DefaultParagraphFont"/>
    <w:rsid w:val="000C482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40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093"/>
    <w:rPr>
      <w:rFonts w:asciiTheme="minorHAnsi" w:eastAsiaTheme="minorEastAsia" w:hAnsiTheme="minorHAnsi" w:cstheme="minorBidi"/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093"/>
    <w:rPr>
      <w:rFonts w:ascii="Times New Roman" w:eastAsia="Times New Roman" w:hAnsi="Times New Roman" w:cs="Times New Roman"/>
      <w:b w:val="0"/>
      <w:b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E1B"/>
    <w:rPr>
      <w:rFonts w:ascii="Tahoma" w:hAnsi="Tahoma" w:cs="Tahoma"/>
      <w:b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E1B"/>
    <w:rPr>
      <w:rFonts w:ascii="Tahoma" w:hAnsi="Tahoma" w:cs="Tahoma"/>
      <w:b/>
      <w:sz w:val="20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63B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7E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E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7E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72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E7"/>
  </w:style>
  <w:style w:type="paragraph" w:styleId="Footer">
    <w:name w:val="footer"/>
    <w:basedOn w:val="Normal"/>
    <w:link w:val="FooterChar"/>
    <w:uiPriority w:val="99"/>
    <w:unhideWhenUsed/>
    <w:rsid w:val="00472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E7"/>
  </w:style>
  <w:style w:type="character" w:customStyle="1" w:styleId="Heading1Char">
    <w:name w:val="Heading 1 Char"/>
    <w:basedOn w:val="DefaultParagraphFont"/>
    <w:link w:val="Heading1"/>
    <w:rsid w:val="00FE714D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swe.org/CentersInitiatives/GeroEdCenter/Initiatives/WorkforceDevelopment/PartnershipsProject/Resources/74298/74314.aspx" TargetMode="External"/><Relationship Id="rId18" Type="http://schemas.openxmlformats.org/officeDocument/2006/relationships/hyperlink" Target="http://media.justice.gov/vod/ada/voices-olmstead.mp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1mEyAieDo0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ciTFCPCivI" TargetMode="External"/><Relationship Id="rId17" Type="http://schemas.openxmlformats.org/officeDocument/2006/relationships/hyperlink" Target="https://www.youtube.com/watch?v=UciTFCPCiv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Bj4f1RTzqM" TargetMode="External"/><Relationship Id="rId20" Type="http://schemas.openxmlformats.org/officeDocument/2006/relationships/hyperlink" Target="http://www.youtube.com/watch?v=hNvVM8ab94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ialworkers.org/pubs/code/default.as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shad5AD-QQ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wptcl0VxpOs" TargetMode="External"/><Relationship Id="rId19" Type="http://schemas.openxmlformats.org/officeDocument/2006/relationships/hyperlink" Target="http://media.justice.gov/vod/ada/olmstead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Bj4f1RTzqM" TargetMode="External"/><Relationship Id="rId14" Type="http://schemas.openxmlformats.org/officeDocument/2006/relationships/hyperlink" Target="http://media.justice.gov/vod/ada/olmstead.mp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2701-C45F-4882-9352-ACEC66E8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Sciegaj</dc:creator>
  <cp:lastModifiedBy>Beth Winters</cp:lastModifiedBy>
  <cp:revision>2</cp:revision>
  <dcterms:created xsi:type="dcterms:W3CDTF">2015-01-07T21:50:00Z</dcterms:created>
  <dcterms:modified xsi:type="dcterms:W3CDTF">2015-01-07T21:50:00Z</dcterms:modified>
</cp:coreProperties>
</file>