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69869" w14:textId="77777777" w:rsidR="00F3620E" w:rsidRPr="00074995" w:rsidRDefault="0010658E" w:rsidP="00403BCE">
      <w:pPr>
        <w:widowControl w:val="0"/>
        <w:autoSpaceDE w:val="0"/>
        <w:autoSpaceDN w:val="0"/>
        <w:adjustRightInd w:val="0"/>
        <w:spacing w:after="0" w:line="246" w:lineRule="atLeast"/>
        <w:jc w:val="center"/>
        <w:rPr>
          <w:b/>
          <w:sz w:val="24"/>
          <w:szCs w:val="24"/>
        </w:rPr>
      </w:pPr>
      <w:r w:rsidRPr="00074995">
        <w:rPr>
          <w:rFonts w:ascii="Arial" w:eastAsia="Times New Roman" w:hAnsi="Arial" w:cs="Arial"/>
          <w:b/>
          <w:bCs/>
          <w:sz w:val="24"/>
          <w:szCs w:val="24"/>
        </w:rPr>
        <w:t xml:space="preserve">APPENDIX </w:t>
      </w:r>
      <w:r w:rsidR="00074995" w:rsidRPr="00074995">
        <w:rPr>
          <w:rFonts w:ascii="Arial" w:eastAsia="Times New Roman" w:hAnsi="Arial" w:cs="Arial"/>
          <w:b/>
          <w:bCs/>
          <w:sz w:val="24"/>
          <w:szCs w:val="24"/>
        </w:rPr>
        <w:t>D</w:t>
      </w:r>
      <w:r w:rsidR="002476C2">
        <w:rPr>
          <w:rFonts w:ascii="Arial" w:eastAsia="Times New Roman" w:hAnsi="Arial" w:cs="Arial"/>
          <w:b/>
          <w:bCs/>
          <w:sz w:val="24"/>
          <w:szCs w:val="24"/>
        </w:rPr>
        <w:t>, part 1</w:t>
      </w:r>
      <w:r w:rsidR="00074995">
        <w:rPr>
          <w:rFonts w:ascii="Arial" w:eastAsia="Times New Roman" w:hAnsi="Arial" w:cs="Arial"/>
          <w:b/>
          <w:bCs/>
          <w:sz w:val="24"/>
          <w:szCs w:val="24"/>
        </w:rPr>
        <w:br/>
      </w:r>
      <w:r w:rsidR="00F3620E" w:rsidRPr="00074995">
        <w:rPr>
          <w:b/>
        </w:rPr>
        <w:t>PRESENTING THE PROGRAM’S ASSESSMENT PLAN</w:t>
      </w:r>
    </w:p>
    <w:p w14:paraId="25C1A84C" w14:textId="77777777" w:rsidR="00F3620E" w:rsidRPr="001D3B78" w:rsidRDefault="00F3620E" w:rsidP="00A94874">
      <w:r>
        <w:rPr>
          <w:rFonts w:cs="Arial"/>
          <w:b/>
          <w:bCs/>
          <w:i/>
          <w:iCs/>
        </w:rPr>
        <w:t xml:space="preserve">Accreditation Standard 4.0.1: </w:t>
      </w:r>
      <w:r w:rsidRPr="00A06754">
        <w:rPr>
          <w:sz w:val="20"/>
          <w:szCs w:val="20"/>
        </w:rPr>
        <w:t xml:space="preserve">The program presents its plan for ongoing assessment of student outcomes for all identified competencies in the generalist level of practice (baccalaureate social work programs) and the generalist and specialized levels of practice (master’s social work programs). Assessment of competence is done by program designated faculty or field personnel. </w:t>
      </w:r>
      <w:r w:rsidRPr="00F3620E">
        <w:rPr>
          <w:sz w:val="18"/>
          <w:szCs w:val="18"/>
        </w:rPr>
        <w:t>The plan includes: • A description of the assessment procedures that detail when, where, and how each competency is assessed for each program option. • At least two measures assess each competency. One of the assessment measures is based on demonstration of the competency in real or simulated practice situations. • An explanation of how the assessment plan measures multiple dimensions of each competency, as described in EP 4.0. • Benchmarks for each competency, a rationale for each benchmark, and a description of how it is determined that students’ performance meets the benchmark. • An explanation of how the program determines the percentage of students achieving the benchmark. • Copies of all assessment measures used to assess all identified competencies.</w:t>
      </w:r>
      <w:r w:rsidR="00360D69">
        <w:rPr>
          <w:sz w:val="18"/>
          <w:szCs w:val="18"/>
        </w:rPr>
        <w:t xml:space="preserve"> </w:t>
      </w:r>
      <w:r w:rsidR="0010658E">
        <w:rPr>
          <w:sz w:val="18"/>
          <w:szCs w:val="18"/>
        </w:rPr>
        <w:br/>
      </w:r>
      <w:r w:rsidR="008A25E3" w:rsidRPr="0010658E">
        <w:rPr>
          <w:b/>
        </w:rPr>
        <w:t>Educational Policy 4.0 states:</w:t>
      </w:r>
      <w:r w:rsidR="008A25E3" w:rsidRPr="008A25E3">
        <w:rPr>
          <w:sz w:val="18"/>
          <w:szCs w:val="18"/>
        </w:rPr>
        <w:t xml:space="preserve">  </w:t>
      </w:r>
      <w:r w:rsidR="008A25E3" w:rsidRPr="0010658E">
        <w:rPr>
          <w:i/>
          <w:sz w:val="20"/>
          <w:szCs w:val="20"/>
        </w:rPr>
        <w:t>Competence is perceived as holistic, involving both performance and the knowledge, values, critical thinking, affective reactions, and exercise of judgment that inform performance.</w:t>
      </w:r>
      <w:r w:rsidR="008A25E3">
        <w:rPr>
          <w:i/>
          <w:sz w:val="18"/>
          <w:szCs w:val="18"/>
        </w:rPr>
        <w:br/>
      </w:r>
      <w:r w:rsidRPr="001D3B78">
        <w:t>A table with explanatory narrative is one way to present the plan that is easily understood.</w:t>
      </w:r>
      <w:r w:rsidR="00A94874">
        <w:br/>
        <w:t xml:space="preserve">                                                                                             </w:t>
      </w:r>
      <w:r w:rsidRPr="001D3B78">
        <w:t>SAMPLE</w:t>
      </w:r>
      <w:r>
        <w:t xml:space="preserve"> SECTION of RESPONSE TO</w:t>
      </w:r>
      <w:r w:rsidRPr="001D3B78">
        <w:t xml:space="preserve"> AS 4.0.1</w:t>
      </w:r>
    </w:p>
    <w:tbl>
      <w:tblPr>
        <w:tblStyle w:val="TableGrid"/>
        <w:tblW w:w="14040" w:type="dxa"/>
        <w:tblInd w:w="-185" w:type="dxa"/>
        <w:tblLayout w:type="fixed"/>
        <w:tblLook w:val="04A0" w:firstRow="1" w:lastRow="0" w:firstColumn="1" w:lastColumn="0" w:noHBand="0" w:noVBand="1"/>
      </w:tblPr>
      <w:tblGrid>
        <w:gridCol w:w="1350"/>
        <w:gridCol w:w="1440"/>
        <w:gridCol w:w="1260"/>
        <w:gridCol w:w="3330"/>
        <w:gridCol w:w="1530"/>
        <w:gridCol w:w="1620"/>
        <w:gridCol w:w="1530"/>
        <w:gridCol w:w="1980"/>
      </w:tblGrid>
      <w:tr w:rsidR="00E97055" w:rsidRPr="001D3B78" w14:paraId="7EBC44BA" w14:textId="77777777" w:rsidTr="00E06EF3">
        <w:tc>
          <w:tcPr>
            <w:tcW w:w="14040" w:type="dxa"/>
            <w:gridSpan w:val="8"/>
          </w:tcPr>
          <w:p w14:paraId="11622F46" w14:textId="77777777" w:rsidR="00E97055" w:rsidRPr="00BB783A" w:rsidRDefault="00343C84" w:rsidP="00343C84">
            <w:pPr>
              <w:jc w:val="center"/>
              <w:rPr>
                <w:b/>
              </w:rPr>
            </w:pPr>
            <w:r>
              <w:rPr>
                <w:b/>
                <w:color w:val="FF0000"/>
              </w:rPr>
              <w:t xml:space="preserve">DIMENSION MEASURE IN </w:t>
            </w:r>
            <w:r w:rsidR="00E97055" w:rsidRPr="005E659E">
              <w:rPr>
                <w:b/>
                <w:color w:val="FF0000"/>
              </w:rPr>
              <w:t xml:space="preserve">REAL OR SIMULATED PRACTICE EXPERIENCE </w:t>
            </w:r>
            <w:r w:rsidR="00E97055">
              <w:rPr>
                <w:b/>
                <w:color w:val="FF0000"/>
              </w:rPr>
              <w:br/>
              <w:t>(A</w:t>
            </w:r>
            <w:r w:rsidR="00E97055" w:rsidRPr="00BA201B">
              <w:rPr>
                <w:b/>
                <w:color w:val="FF0000"/>
              </w:rPr>
              <w:t xml:space="preserve"> performance measure that represents an observable component of the competency and integrates the dimensions of the competency</w:t>
            </w:r>
            <w:r w:rsidR="00E97055">
              <w:rPr>
                <w:b/>
                <w:color w:val="FF0000"/>
              </w:rPr>
              <w:t>.)</w:t>
            </w:r>
          </w:p>
        </w:tc>
      </w:tr>
      <w:tr w:rsidR="00E97055" w:rsidRPr="001D3B78" w14:paraId="2ED6B330" w14:textId="77777777" w:rsidTr="000A2CC7">
        <w:tc>
          <w:tcPr>
            <w:tcW w:w="1350" w:type="dxa"/>
          </w:tcPr>
          <w:p w14:paraId="17A58B89" w14:textId="77777777" w:rsidR="00E97055" w:rsidRPr="001D3B78" w:rsidRDefault="00E97055" w:rsidP="00E35756">
            <w:pPr>
              <w:jc w:val="center"/>
            </w:pPr>
            <w:r w:rsidRPr="001D3B78">
              <w:t>Competency</w:t>
            </w:r>
          </w:p>
        </w:tc>
        <w:tc>
          <w:tcPr>
            <w:tcW w:w="1440" w:type="dxa"/>
          </w:tcPr>
          <w:p w14:paraId="44E6B2E7" w14:textId="77777777" w:rsidR="00E97055" w:rsidRPr="001D3B78" w:rsidRDefault="00E97055" w:rsidP="00E35756">
            <w:pPr>
              <w:jc w:val="center"/>
            </w:pPr>
            <w:r w:rsidRPr="001D3B78">
              <w:t>Competency Benchmark</w:t>
            </w:r>
          </w:p>
        </w:tc>
        <w:tc>
          <w:tcPr>
            <w:tcW w:w="1260" w:type="dxa"/>
          </w:tcPr>
          <w:p w14:paraId="616A213B" w14:textId="77777777" w:rsidR="00E97055" w:rsidRPr="001D3B78" w:rsidRDefault="00E97055" w:rsidP="00E35756">
            <w:pPr>
              <w:jc w:val="center"/>
            </w:pPr>
            <w:r w:rsidRPr="001D3B78">
              <w:t>Measures</w:t>
            </w:r>
          </w:p>
        </w:tc>
        <w:tc>
          <w:tcPr>
            <w:tcW w:w="3330" w:type="dxa"/>
          </w:tcPr>
          <w:p w14:paraId="3F89C20E" w14:textId="77777777" w:rsidR="00E97055" w:rsidRPr="001D3B78" w:rsidRDefault="00F72016" w:rsidP="00E97055">
            <w:pPr>
              <w:jc w:val="center"/>
            </w:pPr>
            <w:r>
              <w:t>Behavior</w:t>
            </w:r>
          </w:p>
        </w:tc>
        <w:tc>
          <w:tcPr>
            <w:tcW w:w="1530" w:type="dxa"/>
          </w:tcPr>
          <w:p w14:paraId="22E662F6" w14:textId="77777777" w:rsidR="00E97055" w:rsidRDefault="00E97055" w:rsidP="00F3620E">
            <w:pPr>
              <w:jc w:val="center"/>
            </w:pPr>
            <w:r>
              <w:t>Dimension(s)</w:t>
            </w:r>
          </w:p>
        </w:tc>
        <w:tc>
          <w:tcPr>
            <w:tcW w:w="1620" w:type="dxa"/>
          </w:tcPr>
          <w:p w14:paraId="7B6F42F7" w14:textId="77777777" w:rsidR="00E97055" w:rsidRPr="001D3B78" w:rsidRDefault="00E97055" w:rsidP="00F3620E">
            <w:pPr>
              <w:jc w:val="center"/>
            </w:pPr>
            <w:r>
              <w:t>Assessment Procedures</w:t>
            </w:r>
          </w:p>
        </w:tc>
        <w:tc>
          <w:tcPr>
            <w:tcW w:w="1530" w:type="dxa"/>
          </w:tcPr>
          <w:p w14:paraId="7669087F" w14:textId="77777777" w:rsidR="00E97055" w:rsidRPr="001D3B78" w:rsidRDefault="00E97055" w:rsidP="00E35756">
            <w:pPr>
              <w:jc w:val="center"/>
            </w:pPr>
            <w:r>
              <w:t>Outcome Measure Benchmark</w:t>
            </w:r>
          </w:p>
        </w:tc>
        <w:tc>
          <w:tcPr>
            <w:tcW w:w="1980" w:type="dxa"/>
          </w:tcPr>
          <w:p w14:paraId="3677D943" w14:textId="77777777" w:rsidR="00E97055" w:rsidRPr="001D3B78" w:rsidRDefault="00E97055" w:rsidP="00E35756">
            <w:pPr>
              <w:jc w:val="center"/>
            </w:pPr>
            <w:r w:rsidRPr="001D3B78">
              <w:t xml:space="preserve">Assessment Procedures: Competency </w:t>
            </w:r>
          </w:p>
        </w:tc>
      </w:tr>
      <w:tr w:rsidR="00E97055" w:rsidRPr="001D3B78" w14:paraId="27F893DA" w14:textId="77777777" w:rsidTr="000A2CC7">
        <w:trPr>
          <w:trHeight w:val="1529"/>
        </w:trPr>
        <w:tc>
          <w:tcPr>
            <w:tcW w:w="1350" w:type="dxa"/>
            <w:vMerge w:val="restart"/>
          </w:tcPr>
          <w:p w14:paraId="7DA4F5BA" w14:textId="77777777" w:rsidR="00E97055" w:rsidRPr="001D3B78" w:rsidRDefault="00E97055" w:rsidP="00C27C2D">
            <w:r>
              <w:t>Competency 2: Engage Diversity and Difference in Practice</w:t>
            </w:r>
          </w:p>
        </w:tc>
        <w:tc>
          <w:tcPr>
            <w:tcW w:w="1440" w:type="dxa"/>
            <w:vMerge w:val="restart"/>
          </w:tcPr>
          <w:p w14:paraId="3C73D0BD" w14:textId="5DBDD515" w:rsidR="00E97055" w:rsidRPr="001D3B78" w:rsidRDefault="000A2CC7" w:rsidP="00E97055">
            <w:r>
              <w:t>90</w:t>
            </w:r>
            <w:r w:rsidRPr="001D3B78">
              <w:t xml:space="preserve">% </w:t>
            </w:r>
            <w:r>
              <w:t>of students will demonstrate competence by meeting the outcome measure benchmarks</w:t>
            </w:r>
            <w:r w:rsidR="00E97055" w:rsidRPr="001D3B78">
              <w:t xml:space="preserve"> </w:t>
            </w:r>
          </w:p>
        </w:tc>
        <w:tc>
          <w:tcPr>
            <w:tcW w:w="1260" w:type="dxa"/>
            <w:vMerge w:val="restart"/>
          </w:tcPr>
          <w:p w14:paraId="421BB95A" w14:textId="77777777" w:rsidR="00E97055" w:rsidRDefault="00E97055" w:rsidP="00E35756">
            <w:r w:rsidRPr="001D3B78">
              <w:t xml:space="preserve">Measure 1:  </w:t>
            </w:r>
            <w:r>
              <w:t xml:space="preserve">Field Instrument </w:t>
            </w:r>
          </w:p>
          <w:p w14:paraId="3CA2919B" w14:textId="77777777" w:rsidR="00E97055" w:rsidRDefault="00E97055" w:rsidP="00E35756"/>
          <w:p w14:paraId="43B8ADF7" w14:textId="77777777" w:rsidR="00E97055" w:rsidRDefault="00E97055" w:rsidP="00E35756"/>
          <w:p w14:paraId="1EF6C196" w14:textId="77777777" w:rsidR="00E97055" w:rsidRPr="001D3B78" w:rsidRDefault="00E97055" w:rsidP="00E35756"/>
        </w:tc>
        <w:tc>
          <w:tcPr>
            <w:tcW w:w="3330" w:type="dxa"/>
          </w:tcPr>
          <w:p w14:paraId="7B6D5DB2" w14:textId="77777777" w:rsidR="00E97055" w:rsidRPr="00C27C2D" w:rsidRDefault="00E97055" w:rsidP="008A25E3">
            <w:pPr>
              <w:pStyle w:val="ListParagraph"/>
              <w:numPr>
                <w:ilvl w:val="0"/>
                <w:numId w:val="10"/>
              </w:numPr>
              <w:spacing w:after="0" w:line="240" w:lineRule="auto"/>
              <w:ind w:left="72" w:hanging="162"/>
              <w:rPr>
                <w:sz w:val="21"/>
                <w:szCs w:val="21"/>
              </w:rPr>
            </w:pPr>
            <w:r w:rsidRPr="00C27C2D">
              <w:rPr>
                <w:sz w:val="21"/>
                <w:szCs w:val="21"/>
              </w:rPr>
              <w:t>apply and communicate understanding of the importance of diversity and difference in shaping life experiences in practice at the micro, mezzo, and macro levels</w:t>
            </w:r>
            <w:r>
              <w:rPr>
                <w:sz w:val="21"/>
                <w:szCs w:val="21"/>
              </w:rPr>
              <w:t xml:space="preserve"> (field instrument item #6)</w:t>
            </w:r>
          </w:p>
        </w:tc>
        <w:tc>
          <w:tcPr>
            <w:tcW w:w="1530" w:type="dxa"/>
          </w:tcPr>
          <w:p w14:paraId="2DB07D70" w14:textId="77777777" w:rsidR="00E97055" w:rsidRDefault="00E97055" w:rsidP="00E35756">
            <w:r>
              <w:t xml:space="preserve">Knowledge; </w:t>
            </w:r>
            <w:r>
              <w:br/>
              <w:t>C/A Processes</w:t>
            </w:r>
          </w:p>
          <w:p w14:paraId="66C8EA42" w14:textId="77777777" w:rsidR="00E97055" w:rsidRDefault="00E97055" w:rsidP="00E35756"/>
        </w:tc>
        <w:tc>
          <w:tcPr>
            <w:tcW w:w="1620" w:type="dxa"/>
            <w:vMerge w:val="restart"/>
          </w:tcPr>
          <w:p w14:paraId="44CFC523" w14:textId="77777777" w:rsidR="00E97055" w:rsidRPr="001D3B78" w:rsidRDefault="00E97055" w:rsidP="00E35756">
            <w:r>
              <w:t>F</w:t>
            </w:r>
            <w:r w:rsidRPr="001D3B78">
              <w:t>or Measure 1:</w:t>
            </w:r>
          </w:p>
          <w:p w14:paraId="71CA9D6A" w14:textId="77777777" w:rsidR="00E97055" w:rsidRPr="001D3B78" w:rsidRDefault="00E97055" w:rsidP="00C27C2D">
            <w:r w:rsidRPr="001D3B78">
              <w:t>Aggregate student scores on question</w:t>
            </w:r>
            <w:r>
              <w:t>s</w:t>
            </w:r>
            <w:r w:rsidRPr="001D3B78">
              <w:t xml:space="preserve"> 6,</w:t>
            </w:r>
            <w:r>
              <w:t xml:space="preserve"> </w:t>
            </w:r>
            <w:r w:rsidRPr="001D3B78">
              <w:t>7,</w:t>
            </w:r>
            <w:r>
              <w:t xml:space="preserve"> </w:t>
            </w:r>
            <w:r w:rsidRPr="001D3B78">
              <w:t xml:space="preserve">8. </w:t>
            </w:r>
          </w:p>
        </w:tc>
        <w:tc>
          <w:tcPr>
            <w:tcW w:w="1530" w:type="dxa"/>
            <w:vMerge w:val="restart"/>
          </w:tcPr>
          <w:p w14:paraId="0505D336" w14:textId="77777777" w:rsidR="00E97055" w:rsidRDefault="00E97055" w:rsidP="00E35756">
            <w:r>
              <w:t>For Measure 1:</w:t>
            </w:r>
          </w:p>
          <w:p w14:paraId="4B848114" w14:textId="77777777" w:rsidR="00E97055" w:rsidRPr="001D3B78" w:rsidRDefault="00E97055" w:rsidP="00C27C2D">
            <w:r>
              <w:t>Students must score a minimum of 4 out of 5 points.</w:t>
            </w:r>
          </w:p>
        </w:tc>
        <w:tc>
          <w:tcPr>
            <w:tcW w:w="1980" w:type="dxa"/>
            <w:vMerge w:val="restart"/>
          </w:tcPr>
          <w:p w14:paraId="3558BA87" w14:textId="77777777" w:rsidR="00E97055" w:rsidRPr="009B6F6E" w:rsidRDefault="00E97055" w:rsidP="00A43049">
            <w:pPr>
              <w:rPr>
                <w:sz w:val="18"/>
                <w:szCs w:val="18"/>
              </w:rPr>
            </w:pPr>
            <w:r w:rsidRPr="009B6F6E">
              <w:rPr>
                <w:sz w:val="18"/>
                <w:szCs w:val="18"/>
              </w:rPr>
              <w:t xml:space="preserve">Determine the percentage of students that attained the benchmark for each outcome measure.  Average the percentages together to obtain the percentage of students demonstrating competence.  Determine whether this percentage is larger than the competency Benchmark (see Appendix D). </w:t>
            </w:r>
          </w:p>
        </w:tc>
      </w:tr>
      <w:tr w:rsidR="00E97055" w:rsidRPr="001D3B78" w14:paraId="57058A2A" w14:textId="77777777" w:rsidTr="000A2CC7">
        <w:trPr>
          <w:trHeight w:val="805"/>
        </w:trPr>
        <w:tc>
          <w:tcPr>
            <w:tcW w:w="1350" w:type="dxa"/>
            <w:vMerge/>
          </w:tcPr>
          <w:p w14:paraId="064CDEA0" w14:textId="77777777" w:rsidR="00E97055" w:rsidRDefault="00E97055" w:rsidP="00E35756"/>
        </w:tc>
        <w:tc>
          <w:tcPr>
            <w:tcW w:w="1440" w:type="dxa"/>
            <w:vMerge/>
          </w:tcPr>
          <w:p w14:paraId="4E055E17" w14:textId="77777777" w:rsidR="00E97055" w:rsidRDefault="00E97055" w:rsidP="00E35756"/>
        </w:tc>
        <w:tc>
          <w:tcPr>
            <w:tcW w:w="1260" w:type="dxa"/>
            <w:vMerge/>
          </w:tcPr>
          <w:p w14:paraId="3EF77A83" w14:textId="77777777" w:rsidR="00E97055" w:rsidRPr="001D3B78" w:rsidRDefault="00E97055" w:rsidP="00E35756"/>
        </w:tc>
        <w:tc>
          <w:tcPr>
            <w:tcW w:w="3330" w:type="dxa"/>
          </w:tcPr>
          <w:p w14:paraId="3723CB7B" w14:textId="77777777" w:rsidR="00E97055" w:rsidRPr="00C27C2D" w:rsidRDefault="00E97055" w:rsidP="00F3620E">
            <w:pPr>
              <w:pStyle w:val="ListParagraph"/>
              <w:numPr>
                <w:ilvl w:val="0"/>
                <w:numId w:val="10"/>
              </w:numPr>
              <w:spacing w:after="0" w:line="240" w:lineRule="auto"/>
              <w:ind w:left="72" w:hanging="162"/>
              <w:rPr>
                <w:sz w:val="21"/>
                <w:szCs w:val="21"/>
              </w:rPr>
            </w:pPr>
            <w:r w:rsidRPr="00C27C2D">
              <w:rPr>
                <w:sz w:val="21"/>
                <w:szCs w:val="21"/>
              </w:rPr>
              <w:t>present themselves as learners and engage clients and constituencies as experts of their own experiences</w:t>
            </w:r>
            <w:r>
              <w:rPr>
                <w:sz w:val="21"/>
                <w:szCs w:val="21"/>
              </w:rPr>
              <w:t xml:space="preserve"> (field instrument item #7)</w:t>
            </w:r>
          </w:p>
        </w:tc>
        <w:tc>
          <w:tcPr>
            <w:tcW w:w="1530" w:type="dxa"/>
          </w:tcPr>
          <w:p w14:paraId="734209FE" w14:textId="77777777" w:rsidR="00E97055" w:rsidRDefault="00E97055" w:rsidP="00E35756">
            <w:r>
              <w:t>C/A Processes;</w:t>
            </w:r>
            <w:r>
              <w:br/>
              <w:t>Values</w:t>
            </w:r>
          </w:p>
        </w:tc>
        <w:tc>
          <w:tcPr>
            <w:tcW w:w="1620" w:type="dxa"/>
            <w:vMerge/>
          </w:tcPr>
          <w:p w14:paraId="47864D15" w14:textId="77777777" w:rsidR="00E97055" w:rsidRDefault="00E97055" w:rsidP="00E35756"/>
        </w:tc>
        <w:tc>
          <w:tcPr>
            <w:tcW w:w="1530" w:type="dxa"/>
            <w:vMerge/>
          </w:tcPr>
          <w:p w14:paraId="0648098E" w14:textId="77777777" w:rsidR="00E97055" w:rsidRDefault="00E97055" w:rsidP="00E35756"/>
        </w:tc>
        <w:tc>
          <w:tcPr>
            <w:tcW w:w="1980" w:type="dxa"/>
            <w:vMerge/>
          </w:tcPr>
          <w:p w14:paraId="14A347C8" w14:textId="77777777" w:rsidR="00E97055" w:rsidRPr="001D3B78" w:rsidRDefault="00E97055" w:rsidP="00E35756"/>
        </w:tc>
      </w:tr>
      <w:tr w:rsidR="00E97055" w:rsidRPr="001D3B78" w14:paraId="08909109" w14:textId="77777777" w:rsidTr="000A2CC7">
        <w:trPr>
          <w:trHeight w:val="1727"/>
        </w:trPr>
        <w:tc>
          <w:tcPr>
            <w:tcW w:w="1350" w:type="dxa"/>
            <w:vMerge/>
          </w:tcPr>
          <w:p w14:paraId="0A92442E" w14:textId="77777777" w:rsidR="00E97055" w:rsidRDefault="00E97055" w:rsidP="00E35756"/>
        </w:tc>
        <w:tc>
          <w:tcPr>
            <w:tcW w:w="1440" w:type="dxa"/>
            <w:vMerge/>
          </w:tcPr>
          <w:p w14:paraId="284E40CD" w14:textId="77777777" w:rsidR="00E97055" w:rsidRPr="001D3B78" w:rsidRDefault="00E97055" w:rsidP="00E35756"/>
        </w:tc>
        <w:tc>
          <w:tcPr>
            <w:tcW w:w="1260" w:type="dxa"/>
            <w:vMerge/>
          </w:tcPr>
          <w:p w14:paraId="5D18B2C4" w14:textId="77777777" w:rsidR="00E97055" w:rsidRPr="001D3B78" w:rsidRDefault="00E97055" w:rsidP="00E35756"/>
        </w:tc>
        <w:tc>
          <w:tcPr>
            <w:tcW w:w="3330" w:type="dxa"/>
          </w:tcPr>
          <w:p w14:paraId="178EEF2F" w14:textId="77777777" w:rsidR="00E97055" w:rsidRPr="00C27C2D" w:rsidRDefault="00E97055" w:rsidP="00F3620E">
            <w:pPr>
              <w:pStyle w:val="ListParagraph"/>
              <w:numPr>
                <w:ilvl w:val="0"/>
                <w:numId w:val="10"/>
              </w:numPr>
              <w:spacing w:after="0" w:line="240" w:lineRule="auto"/>
              <w:ind w:left="72" w:hanging="162"/>
              <w:rPr>
                <w:sz w:val="21"/>
                <w:szCs w:val="21"/>
              </w:rPr>
            </w:pPr>
            <w:r w:rsidRPr="00C27C2D">
              <w:rPr>
                <w:sz w:val="21"/>
                <w:szCs w:val="21"/>
              </w:rPr>
              <w:t>apply self-awareness and self-regulation to manage the influence of personal biases and values in working with diverse clients and constituencies</w:t>
            </w:r>
            <w:r>
              <w:rPr>
                <w:sz w:val="21"/>
                <w:szCs w:val="21"/>
              </w:rPr>
              <w:t xml:space="preserve"> (field instrument item #8)</w:t>
            </w:r>
          </w:p>
        </w:tc>
        <w:tc>
          <w:tcPr>
            <w:tcW w:w="1530" w:type="dxa"/>
          </w:tcPr>
          <w:p w14:paraId="617A99B7" w14:textId="77777777" w:rsidR="00E97055" w:rsidRDefault="00E97055" w:rsidP="00E35756">
            <w:r>
              <w:t>Skills;</w:t>
            </w:r>
            <w:r>
              <w:br/>
              <w:t>Values</w:t>
            </w:r>
          </w:p>
        </w:tc>
        <w:tc>
          <w:tcPr>
            <w:tcW w:w="1620" w:type="dxa"/>
            <w:vMerge/>
          </w:tcPr>
          <w:p w14:paraId="3767F1CC" w14:textId="77777777" w:rsidR="00E97055" w:rsidRDefault="00E97055" w:rsidP="00E35756"/>
        </w:tc>
        <w:tc>
          <w:tcPr>
            <w:tcW w:w="1530" w:type="dxa"/>
            <w:vMerge/>
          </w:tcPr>
          <w:p w14:paraId="29B403AA" w14:textId="77777777" w:rsidR="00E97055" w:rsidRDefault="00E97055" w:rsidP="00E35756"/>
        </w:tc>
        <w:tc>
          <w:tcPr>
            <w:tcW w:w="1980" w:type="dxa"/>
            <w:vMerge/>
          </w:tcPr>
          <w:p w14:paraId="79FD6174" w14:textId="77777777" w:rsidR="00E97055" w:rsidRPr="001D3B78" w:rsidRDefault="00E97055" w:rsidP="00E35756"/>
        </w:tc>
      </w:tr>
    </w:tbl>
    <w:p w14:paraId="2D18BD58" w14:textId="77777777" w:rsidR="00A94874" w:rsidRDefault="00A94874">
      <w:pPr>
        <w:spacing w:after="160" w:line="259" w:lineRule="auto"/>
        <w:rPr>
          <w:rFonts w:ascii="Arial" w:eastAsia="Times New Roman" w:hAnsi="Arial" w:cs="Arial"/>
          <w:b/>
          <w:bCs/>
          <w:sz w:val="24"/>
          <w:szCs w:val="24"/>
        </w:rPr>
      </w:pPr>
    </w:p>
    <w:p w14:paraId="29249FDA" w14:textId="12CEF8D1" w:rsidR="00420ED6" w:rsidRDefault="00403BCE" w:rsidP="000A2CC7">
      <w:pPr>
        <w:spacing w:after="160" w:line="259" w:lineRule="auto"/>
        <w:jc w:val="center"/>
      </w:pPr>
      <w:r>
        <w:rPr>
          <w:rFonts w:ascii="Arial" w:eastAsia="Times New Roman" w:hAnsi="Arial" w:cs="Arial"/>
          <w:b/>
          <w:bCs/>
          <w:sz w:val="24"/>
          <w:szCs w:val="24"/>
        </w:rPr>
        <w:br w:type="page"/>
      </w:r>
      <w:r w:rsidR="00420ED6" w:rsidRPr="00074995">
        <w:rPr>
          <w:rFonts w:ascii="Arial" w:eastAsia="Times New Roman" w:hAnsi="Arial" w:cs="Arial"/>
          <w:b/>
          <w:bCs/>
          <w:sz w:val="24"/>
          <w:szCs w:val="24"/>
        </w:rPr>
        <w:t>APPENDIX D</w:t>
      </w:r>
      <w:r w:rsidR="00420ED6">
        <w:rPr>
          <w:rFonts w:ascii="Arial" w:eastAsia="Times New Roman" w:hAnsi="Arial" w:cs="Arial"/>
          <w:b/>
          <w:bCs/>
          <w:sz w:val="24"/>
          <w:szCs w:val="24"/>
        </w:rPr>
        <w:t>, part 2</w:t>
      </w:r>
    </w:p>
    <w:p w14:paraId="7D154196" w14:textId="77777777" w:rsidR="00E06EF3" w:rsidRDefault="00E06EF3"/>
    <w:tbl>
      <w:tblPr>
        <w:tblStyle w:val="TableGrid"/>
        <w:tblpPr w:leftFromText="180" w:rightFromText="180" w:vertAnchor="page" w:horzAnchor="margin" w:tblpX="-365" w:tblpY="1261"/>
        <w:tblW w:w="14220" w:type="dxa"/>
        <w:tblLayout w:type="fixed"/>
        <w:tblLook w:val="04A0" w:firstRow="1" w:lastRow="0" w:firstColumn="1" w:lastColumn="0" w:noHBand="0" w:noVBand="1"/>
      </w:tblPr>
      <w:tblGrid>
        <w:gridCol w:w="1523"/>
        <w:gridCol w:w="1440"/>
        <w:gridCol w:w="1980"/>
        <w:gridCol w:w="1799"/>
        <w:gridCol w:w="1890"/>
        <w:gridCol w:w="1988"/>
        <w:gridCol w:w="1440"/>
        <w:gridCol w:w="2160"/>
      </w:tblGrid>
      <w:tr w:rsidR="009B6F6E" w:rsidRPr="001D3B78" w14:paraId="21C82E58" w14:textId="77777777" w:rsidTr="00E06EF3">
        <w:tc>
          <w:tcPr>
            <w:tcW w:w="14220" w:type="dxa"/>
            <w:gridSpan w:val="8"/>
          </w:tcPr>
          <w:p w14:paraId="33821E11" w14:textId="77777777" w:rsidR="009B6F6E" w:rsidRPr="003936D2" w:rsidRDefault="009B6F6E" w:rsidP="00E06EF3">
            <w:pPr>
              <w:jc w:val="center"/>
              <w:rPr>
                <w:b/>
                <w:color w:val="FF0000"/>
              </w:rPr>
            </w:pPr>
            <w:r>
              <w:br w:type="page"/>
            </w:r>
            <w:r>
              <w:br w:type="page"/>
            </w:r>
            <w:r>
              <w:br w:type="page"/>
            </w:r>
            <w:r>
              <w:rPr>
                <w:b/>
                <w:color w:val="FF0000"/>
              </w:rPr>
              <w:t>DI</w:t>
            </w:r>
            <w:r w:rsidRPr="003936D2">
              <w:rPr>
                <w:b/>
                <w:color w:val="FF0000"/>
              </w:rPr>
              <w:t>MENSION(S) MEASURE (knowledge, values, skills, and cognitive &amp; affective reactions)</w:t>
            </w:r>
          </w:p>
        </w:tc>
      </w:tr>
      <w:tr w:rsidR="009B6F6E" w:rsidRPr="001D3B78" w14:paraId="42189F0D" w14:textId="77777777" w:rsidTr="00E06EF3">
        <w:trPr>
          <w:trHeight w:val="818"/>
        </w:trPr>
        <w:tc>
          <w:tcPr>
            <w:tcW w:w="1523" w:type="dxa"/>
          </w:tcPr>
          <w:p w14:paraId="17A6BA57" w14:textId="77777777" w:rsidR="009B6F6E" w:rsidRPr="001D3B78" w:rsidRDefault="009B6F6E" w:rsidP="00E06EF3">
            <w:pPr>
              <w:jc w:val="center"/>
            </w:pPr>
            <w:r w:rsidRPr="001D3B78">
              <w:t>Competency</w:t>
            </w:r>
          </w:p>
        </w:tc>
        <w:tc>
          <w:tcPr>
            <w:tcW w:w="1440" w:type="dxa"/>
          </w:tcPr>
          <w:p w14:paraId="7247634F" w14:textId="77777777" w:rsidR="009B6F6E" w:rsidRPr="001D3B78" w:rsidRDefault="009B6F6E" w:rsidP="00E06EF3">
            <w:pPr>
              <w:spacing w:line="240" w:lineRule="auto"/>
              <w:jc w:val="center"/>
            </w:pPr>
            <w:r w:rsidRPr="001D3B78">
              <w:t>Competency Benchmark</w:t>
            </w:r>
          </w:p>
        </w:tc>
        <w:tc>
          <w:tcPr>
            <w:tcW w:w="1980" w:type="dxa"/>
          </w:tcPr>
          <w:p w14:paraId="37B9C762" w14:textId="77777777" w:rsidR="009B6F6E" w:rsidRPr="001D3B78" w:rsidRDefault="009B6F6E" w:rsidP="00E06EF3">
            <w:pPr>
              <w:jc w:val="center"/>
            </w:pPr>
            <w:r w:rsidRPr="001D3B78">
              <w:t>Measures</w:t>
            </w:r>
          </w:p>
        </w:tc>
        <w:tc>
          <w:tcPr>
            <w:tcW w:w="1799" w:type="dxa"/>
          </w:tcPr>
          <w:p w14:paraId="6D22D3D7" w14:textId="77777777" w:rsidR="009B6F6E" w:rsidRPr="001D3B78" w:rsidRDefault="009B6F6E" w:rsidP="00E06EF3">
            <w:pPr>
              <w:jc w:val="center"/>
            </w:pPr>
            <w:r>
              <w:t>Description</w:t>
            </w:r>
          </w:p>
        </w:tc>
        <w:tc>
          <w:tcPr>
            <w:tcW w:w="1890" w:type="dxa"/>
          </w:tcPr>
          <w:p w14:paraId="6C25C5C1" w14:textId="77777777" w:rsidR="009B6F6E" w:rsidRDefault="009B6F6E" w:rsidP="00E06EF3">
            <w:r>
              <w:t>Dimension(s)</w:t>
            </w:r>
          </w:p>
        </w:tc>
        <w:tc>
          <w:tcPr>
            <w:tcW w:w="1988" w:type="dxa"/>
          </w:tcPr>
          <w:p w14:paraId="002077A0" w14:textId="77777777" w:rsidR="009B6F6E" w:rsidRPr="001D3B78" w:rsidRDefault="009B6F6E" w:rsidP="00E06EF3">
            <w:pPr>
              <w:jc w:val="center"/>
            </w:pPr>
            <w:r>
              <w:t>Assessment procedures</w:t>
            </w:r>
          </w:p>
        </w:tc>
        <w:tc>
          <w:tcPr>
            <w:tcW w:w="1440" w:type="dxa"/>
          </w:tcPr>
          <w:p w14:paraId="7899E800" w14:textId="77777777" w:rsidR="009B6F6E" w:rsidRPr="001D3B78" w:rsidRDefault="009B6F6E" w:rsidP="00E06EF3">
            <w:pPr>
              <w:spacing w:line="240" w:lineRule="auto"/>
              <w:jc w:val="center"/>
            </w:pPr>
            <w:r>
              <w:t>Outcome Measure Benchmark</w:t>
            </w:r>
          </w:p>
        </w:tc>
        <w:tc>
          <w:tcPr>
            <w:tcW w:w="2160" w:type="dxa"/>
          </w:tcPr>
          <w:p w14:paraId="43662EA7" w14:textId="77777777" w:rsidR="009B6F6E" w:rsidRPr="001D3B78" w:rsidRDefault="009B6F6E" w:rsidP="00E06EF3">
            <w:pPr>
              <w:spacing w:line="240" w:lineRule="auto"/>
              <w:jc w:val="center"/>
            </w:pPr>
            <w:r w:rsidRPr="001D3B78">
              <w:t xml:space="preserve">Assessment Procedures: Competency </w:t>
            </w:r>
          </w:p>
        </w:tc>
      </w:tr>
      <w:tr w:rsidR="009B6F6E" w:rsidRPr="001D3B78" w14:paraId="45F11EC0" w14:textId="77777777" w:rsidTr="00E06EF3">
        <w:trPr>
          <w:trHeight w:val="5908"/>
        </w:trPr>
        <w:tc>
          <w:tcPr>
            <w:tcW w:w="1523" w:type="dxa"/>
          </w:tcPr>
          <w:p w14:paraId="459A7C28" w14:textId="77777777" w:rsidR="009B6F6E" w:rsidRPr="001D3B78" w:rsidRDefault="009B6F6E" w:rsidP="00E06EF3">
            <w:pPr>
              <w:rPr>
                <w:b/>
                <w:bCs/>
              </w:rPr>
            </w:pPr>
            <w:r>
              <w:t>Competency 2: Engage Diversity and Difference in Practice</w:t>
            </w:r>
          </w:p>
          <w:p w14:paraId="5299DA7B" w14:textId="77777777" w:rsidR="009B6F6E" w:rsidRPr="001D3B78" w:rsidRDefault="009B6F6E" w:rsidP="00E06EF3"/>
        </w:tc>
        <w:tc>
          <w:tcPr>
            <w:tcW w:w="1440" w:type="dxa"/>
          </w:tcPr>
          <w:p w14:paraId="735F7340" w14:textId="7BE84468" w:rsidR="009B6F6E" w:rsidRPr="001D3B78" w:rsidRDefault="009B6F6E" w:rsidP="00E06EF3">
            <w:r>
              <w:t>90</w:t>
            </w:r>
            <w:r w:rsidRPr="001D3B78">
              <w:t xml:space="preserve">% </w:t>
            </w:r>
            <w:r w:rsidR="007F5086">
              <w:t>of students will demonstrate competence by meeting the outcome measure benchmarks.</w:t>
            </w:r>
          </w:p>
          <w:p w14:paraId="2FD564E6" w14:textId="77777777" w:rsidR="009B6F6E" w:rsidRPr="001D3B78" w:rsidRDefault="009B6F6E" w:rsidP="00E06EF3"/>
          <w:p w14:paraId="288C8EC4" w14:textId="77777777" w:rsidR="009B6F6E" w:rsidRPr="001D3B78" w:rsidRDefault="009B6F6E" w:rsidP="00E06EF3"/>
        </w:tc>
        <w:tc>
          <w:tcPr>
            <w:tcW w:w="1980" w:type="dxa"/>
          </w:tcPr>
          <w:p w14:paraId="334DCC6C" w14:textId="77777777" w:rsidR="009B6F6E" w:rsidRDefault="009B6F6E" w:rsidP="00E06EF3">
            <w:r w:rsidRPr="001D3B78">
              <w:t xml:space="preserve">Measure </w:t>
            </w:r>
            <w:r>
              <w:t>2</w:t>
            </w:r>
            <w:r w:rsidRPr="001D3B78">
              <w:t xml:space="preserve">:  </w:t>
            </w:r>
            <w:r>
              <w:t xml:space="preserve">Exercise on Privilege </w:t>
            </w:r>
            <w:r>
              <w:br/>
              <w:t>(Course-embedded measure)</w:t>
            </w:r>
          </w:p>
          <w:p w14:paraId="4AA80F32" w14:textId="77777777" w:rsidR="009B6F6E" w:rsidRDefault="009B6F6E" w:rsidP="00E06EF3"/>
          <w:p w14:paraId="2C5BC157" w14:textId="77777777" w:rsidR="009B6F6E" w:rsidRDefault="009B6F6E" w:rsidP="00E06EF3">
            <w:r>
              <w:t>SW550: Diversity in Social Work Practice</w:t>
            </w:r>
          </w:p>
          <w:p w14:paraId="5714E7B8" w14:textId="77777777" w:rsidR="009B6F6E" w:rsidRDefault="009B6F6E" w:rsidP="00E06EF3"/>
          <w:p w14:paraId="580A51C3" w14:textId="77777777" w:rsidR="009B6F6E" w:rsidRDefault="009B6F6E" w:rsidP="00E06EF3"/>
          <w:p w14:paraId="1EEF9077" w14:textId="77777777" w:rsidR="009B6F6E" w:rsidRDefault="009B6F6E" w:rsidP="00E06EF3"/>
          <w:p w14:paraId="6785EAE9" w14:textId="77777777" w:rsidR="009B6F6E" w:rsidRDefault="009B6F6E" w:rsidP="00E06EF3"/>
          <w:p w14:paraId="1791EA01" w14:textId="77777777" w:rsidR="009B6F6E" w:rsidRPr="001D3B78" w:rsidRDefault="009B6F6E" w:rsidP="00E06EF3"/>
        </w:tc>
        <w:tc>
          <w:tcPr>
            <w:tcW w:w="1799" w:type="dxa"/>
          </w:tcPr>
          <w:p w14:paraId="53CAD76B" w14:textId="77777777" w:rsidR="009B6F6E" w:rsidRPr="00BB783A" w:rsidRDefault="009B6F6E" w:rsidP="00E06EF3">
            <w:pPr>
              <w:rPr>
                <w:sz w:val="21"/>
                <w:szCs w:val="21"/>
              </w:rPr>
            </w:pPr>
            <w:r>
              <w:rPr>
                <w:sz w:val="21"/>
                <w:szCs w:val="21"/>
              </w:rPr>
              <w:t>Apply an understanding of diversity in practice through managing the influence of your personal biases and experiences on work with clients.</w:t>
            </w:r>
          </w:p>
        </w:tc>
        <w:tc>
          <w:tcPr>
            <w:tcW w:w="1890" w:type="dxa"/>
          </w:tcPr>
          <w:p w14:paraId="27B70069" w14:textId="77777777" w:rsidR="009B6F6E" w:rsidRDefault="00FD4AEE" w:rsidP="00E06EF3">
            <w:r>
              <w:rPr>
                <w:sz w:val="21"/>
                <w:szCs w:val="21"/>
              </w:rPr>
              <w:t>Knowledge;</w:t>
            </w:r>
            <w:r>
              <w:rPr>
                <w:sz w:val="21"/>
                <w:szCs w:val="21"/>
              </w:rPr>
              <w:br/>
            </w:r>
            <w:r w:rsidR="009B6F6E">
              <w:rPr>
                <w:sz w:val="21"/>
                <w:szCs w:val="21"/>
              </w:rPr>
              <w:t>Values</w:t>
            </w:r>
            <w:r>
              <w:rPr>
                <w:sz w:val="21"/>
                <w:szCs w:val="21"/>
              </w:rPr>
              <w:t>;</w:t>
            </w:r>
            <w:r>
              <w:rPr>
                <w:sz w:val="21"/>
                <w:szCs w:val="21"/>
              </w:rPr>
              <w:br/>
            </w:r>
            <w:r w:rsidR="009B6F6E">
              <w:rPr>
                <w:sz w:val="21"/>
                <w:szCs w:val="21"/>
              </w:rPr>
              <w:t>C/A Processes</w:t>
            </w:r>
          </w:p>
        </w:tc>
        <w:tc>
          <w:tcPr>
            <w:tcW w:w="1988" w:type="dxa"/>
          </w:tcPr>
          <w:p w14:paraId="32977C22" w14:textId="77777777" w:rsidR="009B6F6E" w:rsidRPr="001D3B78" w:rsidRDefault="009B6F6E" w:rsidP="00E06EF3">
            <w:r>
              <w:t>F</w:t>
            </w:r>
            <w:r w:rsidRPr="001D3B78">
              <w:t>or Measu</w:t>
            </w:r>
            <w:r>
              <w:t>re 2</w:t>
            </w:r>
            <w:r w:rsidRPr="001D3B78">
              <w:t>:</w:t>
            </w:r>
          </w:p>
          <w:p w14:paraId="788202D5" w14:textId="77777777" w:rsidR="009B6F6E" w:rsidRDefault="009B6F6E" w:rsidP="00E06EF3">
            <w:r w:rsidRPr="001D3B78">
              <w:t xml:space="preserve">Aggregate student scores on </w:t>
            </w:r>
            <w:r w:rsidR="00FD4AEE">
              <w:t xml:space="preserve">rubric items </w:t>
            </w:r>
            <w:r>
              <w:t>9-15</w:t>
            </w:r>
          </w:p>
          <w:p w14:paraId="2EB3A775" w14:textId="77777777" w:rsidR="009B6F6E" w:rsidRDefault="009B6F6E" w:rsidP="00E06EF3"/>
          <w:p w14:paraId="3D2BF391" w14:textId="77777777" w:rsidR="009B6F6E" w:rsidRDefault="009579E8" w:rsidP="00E06EF3">
            <w:r>
              <w:t>(Rubric provided on pp</w:t>
            </w:r>
            <w:r w:rsidR="009B6F6E">
              <w:t>. XX-</w:t>
            </w:r>
            <w:proofErr w:type="gramStart"/>
            <w:r w:rsidR="009B6F6E">
              <w:t>XX)</w:t>
            </w:r>
            <w:r w:rsidR="00FD4AEE">
              <w:t>*</w:t>
            </w:r>
            <w:proofErr w:type="gramEnd"/>
          </w:p>
          <w:p w14:paraId="5A2BE721" w14:textId="77777777" w:rsidR="00FD4AEE" w:rsidRDefault="00FD4AEE" w:rsidP="00E06EF3"/>
          <w:p w14:paraId="614EB494" w14:textId="77777777" w:rsidR="00FD4AEE" w:rsidRDefault="00FD4AEE" w:rsidP="00E06EF3"/>
          <w:p w14:paraId="23727892" w14:textId="77777777" w:rsidR="00FD4AEE" w:rsidRDefault="00FD4AEE" w:rsidP="00E06EF3"/>
          <w:p w14:paraId="7988349B" w14:textId="77777777" w:rsidR="00F52016" w:rsidRDefault="00F52016" w:rsidP="00E06EF3">
            <w:r>
              <w:br/>
            </w:r>
          </w:p>
          <w:p w14:paraId="795707A8" w14:textId="77777777" w:rsidR="00FD4AEE" w:rsidRPr="001D3B78" w:rsidRDefault="00FD4AEE" w:rsidP="00E06EF3">
            <w:r>
              <w:t>*</w:t>
            </w:r>
            <w:r w:rsidR="00C31557">
              <w:t xml:space="preserve">If rubrics are used they should be provided. </w:t>
            </w:r>
          </w:p>
        </w:tc>
        <w:tc>
          <w:tcPr>
            <w:tcW w:w="1440" w:type="dxa"/>
          </w:tcPr>
          <w:p w14:paraId="1ACDA0DC" w14:textId="77777777" w:rsidR="009B6F6E" w:rsidRDefault="009B6F6E" w:rsidP="00E06EF3">
            <w:r>
              <w:t>For Measure 2:</w:t>
            </w:r>
          </w:p>
          <w:p w14:paraId="5DA0CFE4" w14:textId="77777777" w:rsidR="009B6F6E" w:rsidRDefault="009B6F6E" w:rsidP="00E06EF3">
            <w:r>
              <w:t>Students must score a minimum of</w:t>
            </w:r>
            <w:r w:rsidR="00506069">
              <w:t xml:space="preserve"> 8 out of 10 on rubric items (</w:t>
            </w:r>
            <w:r>
              <w:t>9-15).</w:t>
            </w:r>
          </w:p>
          <w:p w14:paraId="7D5451F7" w14:textId="77777777" w:rsidR="009B6F6E" w:rsidRDefault="009B6F6E" w:rsidP="00E06EF3"/>
          <w:p w14:paraId="26D95F67" w14:textId="77777777" w:rsidR="009B6F6E" w:rsidRPr="001D3B78" w:rsidRDefault="009B6F6E" w:rsidP="00E06EF3"/>
        </w:tc>
        <w:tc>
          <w:tcPr>
            <w:tcW w:w="2160" w:type="dxa"/>
          </w:tcPr>
          <w:p w14:paraId="7C2DB0D4" w14:textId="77777777" w:rsidR="009B6F6E" w:rsidRPr="001D3B78" w:rsidRDefault="009B6F6E" w:rsidP="00E06EF3"/>
          <w:p w14:paraId="7FE5C0FA" w14:textId="77777777" w:rsidR="009B6F6E" w:rsidRPr="00C27C2D" w:rsidRDefault="009B6F6E" w:rsidP="00E06EF3">
            <w:pPr>
              <w:rPr>
                <w:sz w:val="21"/>
                <w:szCs w:val="21"/>
              </w:rPr>
            </w:pPr>
            <w:r w:rsidRPr="00C27C2D">
              <w:rPr>
                <w:sz w:val="21"/>
                <w:szCs w:val="21"/>
              </w:rPr>
              <w:t>Determine the percentage of students that attained the benchmark for each outcome measure.  Average the percentages together to obtain the percentage of students demonstrating competence.  Determine whether this percentage is larger than the Competency Benchmark (</w:t>
            </w:r>
            <w:r w:rsidRPr="00A43049">
              <w:rPr>
                <w:sz w:val="21"/>
                <w:szCs w:val="21"/>
              </w:rPr>
              <w:t>see Appendix D</w:t>
            </w:r>
            <w:r w:rsidRPr="00C27C2D">
              <w:rPr>
                <w:sz w:val="21"/>
                <w:szCs w:val="21"/>
              </w:rPr>
              <w:t xml:space="preserve">). </w:t>
            </w:r>
          </w:p>
          <w:p w14:paraId="2C2942B7" w14:textId="77777777" w:rsidR="009B6F6E" w:rsidRPr="001D3B78" w:rsidRDefault="009B6F6E" w:rsidP="00E06EF3"/>
        </w:tc>
      </w:tr>
    </w:tbl>
    <w:p w14:paraId="4E359566" w14:textId="77777777" w:rsidR="00F3620E" w:rsidRDefault="00F3620E" w:rsidP="00F3620E">
      <w:r>
        <w:t>Similar</w:t>
      </w:r>
      <w:r w:rsidRPr="001D3B78">
        <w:t xml:space="preserve"> table</w:t>
      </w:r>
      <w:r>
        <w:t>s</w:t>
      </w:r>
      <w:r w:rsidRPr="001D3B78">
        <w:t xml:space="preserve"> for each competency would follow.  The accompanying narrative would describe the field instrument</w:t>
      </w:r>
      <w:r>
        <w:t xml:space="preserve"> and course-embedded measure(s)</w:t>
      </w:r>
      <w:r w:rsidRPr="001D3B78">
        <w:t xml:space="preserve">.  Information such as who completes the rating for each instrument, why a </w:t>
      </w:r>
      <w:proofErr w:type="gramStart"/>
      <w:r w:rsidRPr="001D3B78">
        <w:t>particular measure</w:t>
      </w:r>
      <w:proofErr w:type="gramEnd"/>
      <w:r w:rsidRPr="001D3B78">
        <w:t xml:space="preserve"> was selected, who/what group reviews the scores, what procedures or actions occur when a Benchmark is not met, etc.  </w:t>
      </w:r>
    </w:p>
    <w:p w14:paraId="78B1483D" w14:textId="77777777" w:rsidR="00F3620E" w:rsidRPr="00AA673C" w:rsidRDefault="00F3620E" w:rsidP="00763133">
      <w:pPr>
        <w:jc w:val="center"/>
        <w:rPr>
          <w:rFonts w:ascii="Arial" w:hAnsi="Arial" w:cs="Arial"/>
          <w:b/>
        </w:rPr>
      </w:pPr>
      <w:r>
        <w:br w:type="page"/>
      </w:r>
      <w:r w:rsidR="0010658E" w:rsidRPr="00AA673C">
        <w:rPr>
          <w:rFonts w:ascii="Arial" w:hAnsi="Arial" w:cs="Arial"/>
          <w:b/>
          <w:sz w:val="24"/>
          <w:szCs w:val="24"/>
        </w:rPr>
        <w:lastRenderedPageBreak/>
        <w:t xml:space="preserve">APPENDIX </w:t>
      </w:r>
      <w:r w:rsidR="00FC37AC" w:rsidRPr="00AA673C">
        <w:rPr>
          <w:rFonts w:ascii="Arial" w:hAnsi="Arial" w:cs="Arial"/>
          <w:b/>
          <w:sz w:val="24"/>
          <w:szCs w:val="24"/>
        </w:rPr>
        <w:t>E</w:t>
      </w:r>
      <w:r w:rsidR="00FC37AC" w:rsidRPr="00AA673C">
        <w:rPr>
          <w:rFonts w:ascii="Arial" w:hAnsi="Arial" w:cs="Arial"/>
          <w:b/>
          <w:sz w:val="24"/>
          <w:szCs w:val="24"/>
        </w:rPr>
        <w:br/>
      </w:r>
      <w:r w:rsidR="0010658E" w:rsidRPr="00AA673C">
        <w:rPr>
          <w:rFonts w:ascii="Arial" w:hAnsi="Arial" w:cs="Arial"/>
          <w:b/>
          <w:sz w:val="23"/>
          <w:szCs w:val="23"/>
        </w:rPr>
        <w:t xml:space="preserve"> </w:t>
      </w:r>
      <w:r w:rsidRPr="00AA673C">
        <w:rPr>
          <w:rFonts w:ascii="Arial" w:hAnsi="Arial" w:cs="Arial"/>
          <w:b/>
          <w:iCs/>
          <w:sz w:val="23"/>
          <w:szCs w:val="23"/>
        </w:rPr>
        <w:t>Results for Assessment of Practice Competencies</w:t>
      </w:r>
      <w:r w:rsidRPr="00AA673C">
        <w:rPr>
          <w:rFonts w:ascii="Arial" w:hAnsi="Arial" w:cs="Arial"/>
          <w:b/>
          <w:iCs/>
        </w:rPr>
        <w:br/>
      </w:r>
      <w:r w:rsidRPr="00AA673C">
        <w:rPr>
          <w:rFonts w:ascii="Arial" w:hAnsi="Arial" w:cs="Arial"/>
          <w:b/>
        </w:rPr>
        <w:t>WHAT ARE THE FINDINGS?</w:t>
      </w:r>
    </w:p>
    <w:p w14:paraId="442D325D" w14:textId="77777777" w:rsidR="00F3620E" w:rsidRPr="001D3B78" w:rsidRDefault="00F3620E" w:rsidP="00F3620E">
      <w:pPr>
        <w:spacing w:line="240" w:lineRule="auto"/>
        <w:rPr>
          <w:rFonts w:cs="Arial"/>
        </w:rPr>
      </w:pPr>
      <w:r w:rsidRPr="001D3B78">
        <w:rPr>
          <w:rFonts w:cs="Arial"/>
          <w:b/>
          <w:bCs/>
          <w:i/>
        </w:rPr>
        <w:t>Accreditation Standard 4.0.2:</w:t>
      </w:r>
      <w:r w:rsidRPr="001D3B78">
        <w:rPr>
          <w:rFonts w:cs="Arial"/>
          <w:b/>
          <w:bCs/>
        </w:rPr>
        <w:t xml:space="preserve"> </w:t>
      </w:r>
      <w:r w:rsidRPr="00A06754">
        <w:rPr>
          <w:sz w:val="20"/>
          <w:szCs w:val="20"/>
        </w:rPr>
        <w:t>The program provides its most recent year of summary data and outcomes for the assessment of each of the identified competencies, specifying the percentage of students achieving program benchmarks for each program option.</w:t>
      </w:r>
    </w:p>
    <w:p w14:paraId="14F1EA56" w14:textId="77777777" w:rsidR="00F3620E" w:rsidRDefault="00F3620E" w:rsidP="00F3620E">
      <w:r>
        <w:t>For this standard, provide the data.</w:t>
      </w:r>
    </w:p>
    <w:tbl>
      <w:tblPr>
        <w:tblStyle w:val="TableGrid"/>
        <w:tblW w:w="10435" w:type="dxa"/>
        <w:jc w:val="center"/>
        <w:tblLayout w:type="fixed"/>
        <w:tblLook w:val="04A0" w:firstRow="1" w:lastRow="0" w:firstColumn="1" w:lastColumn="0" w:noHBand="0" w:noVBand="1"/>
      </w:tblPr>
      <w:tblGrid>
        <w:gridCol w:w="1795"/>
        <w:gridCol w:w="1440"/>
        <w:gridCol w:w="2340"/>
        <w:gridCol w:w="1530"/>
        <w:gridCol w:w="1980"/>
        <w:gridCol w:w="1350"/>
      </w:tblGrid>
      <w:tr w:rsidR="007B745A" w14:paraId="3EA630F5" w14:textId="77777777" w:rsidTr="007B745A">
        <w:trPr>
          <w:trHeight w:val="1277"/>
          <w:jc w:val="center"/>
        </w:trPr>
        <w:tc>
          <w:tcPr>
            <w:tcW w:w="1795" w:type="dxa"/>
          </w:tcPr>
          <w:p w14:paraId="1FB7A2D6" w14:textId="77777777" w:rsidR="007B745A" w:rsidRDefault="007B745A" w:rsidP="00E35756">
            <w:pPr>
              <w:jc w:val="center"/>
            </w:pPr>
            <w:r w:rsidRPr="001D3B78">
              <w:t>Competency</w:t>
            </w:r>
          </w:p>
        </w:tc>
        <w:tc>
          <w:tcPr>
            <w:tcW w:w="1440" w:type="dxa"/>
          </w:tcPr>
          <w:p w14:paraId="62EEAB0E" w14:textId="77777777" w:rsidR="007B745A" w:rsidRDefault="007B745A" w:rsidP="00E35756">
            <w:pPr>
              <w:jc w:val="center"/>
            </w:pPr>
            <w:r w:rsidRPr="001D3B78">
              <w:t>Competency Benchmark</w:t>
            </w:r>
          </w:p>
        </w:tc>
        <w:tc>
          <w:tcPr>
            <w:tcW w:w="2340" w:type="dxa"/>
          </w:tcPr>
          <w:p w14:paraId="79252494" w14:textId="77777777" w:rsidR="007B745A" w:rsidRDefault="007B745A" w:rsidP="00E35756">
            <w:pPr>
              <w:jc w:val="center"/>
            </w:pPr>
            <w:r>
              <w:t>Outcome Measure Benchmark</w:t>
            </w:r>
          </w:p>
        </w:tc>
        <w:tc>
          <w:tcPr>
            <w:tcW w:w="1530" w:type="dxa"/>
          </w:tcPr>
          <w:p w14:paraId="20F94292" w14:textId="77777777" w:rsidR="007B745A" w:rsidRDefault="007B745A" w:rsidP="00E35756">
            <w:pPr>
              <w:jc w:val="center"/>
            </w:pPr>
            <w:r>
              <w:t>Percent Attaining</w:t>
            </w:r>
          </w:p>
        </w:tc>
        <w:tc>
          <w:tcPr>
            <w:tcW w:w="1980" w:type="dxa"/>
          </w:tcPr>
          <w:p w14:paraId="157B97CF" w14:textId="77777777" w:rsidR="007B745A" w:rsidRDefault="007B745A" w:rsidP="00E35756">
            <w:pPr>
              <w:jc w:val="center"/>
            </w:pPr>
            <w:r>
              <w:t>Percentage of Students Achieving Competency</w:t>
            </w:r>
          </w:p>
        </w:tc>
        <w:tc>
          <w:tcPr>
            <w:tcW w:w="1350" w:type="dxa"/>
          </w:tcPr>
          <w:p w14:paraId="417B9F97" w14:textId="77777777" w:rsidR="007B745A" w:rsidRDefault="007B745A" w:rsidP="00E35756">
            <w:pPr>
              <w:jc w:val="center"/>
            </w:pPr>
            <w:r>
              <w:t>Competency Attained?</w:t>
            </w:r>
          </w:p>
        </w:tc>
      </w:tr>
      <w:tr w:rsidR="007B745A" w14:paraId="2905F156" w14:textId="77777777" w:rsidTr="007B745A">
        <w:trPr>
          <w:trHeight w:val="509"/>
          <w:jc w:val="center"/>
        </w:trPr>
        <w:tc>
          <w:tcPr>
            <w:tcW w:w="1795" w:type="dxa"/>
            <w:vMerge w:val="restart"/>
          </w:tcPr>
          <w:p w14:paraId="08B0FD53" w14:textId="77777777" w:rsidR="007B745A" w:rsidRPr="001D3B78" w:rsidRDefault="007B745A" w:rsidP="00E35756">
            <w:pPr>
              <w:rPr>
                <w:b/>
                <w:bCs/>
              </w:rPr>
            </w:pPr>
            <w:r>
              <w:t>Competency 2: Engage Diversity and Difference in Practice</w:t>
            </w:r>
          </w:p>
          <w:p w14:paraId="08F31639" w14:textId="77777777" w:rsidR="007B745A" w:rsidRDefault="007B745A" w:rsidP="00E35756"/>
        </w:tc>
        <w:tc>
          <w:tcPr>
            <w:tcW w:w="1440" w:type="dxa"/>
            <w:vMerge w:val="restart"/>
          </w:tcPr>
          <w:p w14:paraId="70A83D9B" w14:textId="77777777" w:rsidR="007B745A" w:rsidRPr="001D3B78" w:rsidRDefault="007B745A" w:rsidP="00E35756">
            <w:r>
              <w:t xml:space="preserve">90% </w:t>
            </w:r>
          </w:p>
          <w:p w14:paraId="0150464B" w14:textId="77777777" w:rsidR="007B745A" w:rsidRDefault="007B745A" w:rsidP="00E35756"/>
        </w:tc>
        <w:tc>
          <w:tcPr>
            <w:tcW w:w="2340" w:type="dxa"/>
            <w:vMerge w:val="restart"/>
          </w:tcPr>
          <w:p w14:paraId="7FA55CC5" w14:textId="77777777" w:rsidR="007B745A" w:rsidRPr="008E6BA8" w:rsidRDefault="007B745A" w:rsidP="00E35756">
            <w:pPr>
              <w:rPr>
                <w:sz w:val="21"/>
                <w:szCs w:val="21"/>
              </w:rPr>
            </w:pPr>
            <w:r w:rsidRPr="008E6BA8">
              <w:rPr>
                <w:sz w:val="21"/>
                <w:szCs w:val="21"/>
              </w:rPr>
              <w:t>Measure 1:</w:t>
            </w:r>
            <w:r>
              <w:rPr>
                <w:sz w:val="21"/>
                <w:szCs w:val="21"/>
              </w:rPr>
              <w:br/>
            </w:r>
            <w:r w:rsidRPr="008E6BA8">
              <w:rPr>
                <w:sz w:val="21"/>
                <w:szCs w:val="21"/>
              </w:rPr>
              <w:t>Students must score a minimum of 4 out of 5 points.</w:t>
            </w:r>
          </w:p>
          <w:p w14:paraId="05E4F43F" w14:textId="77777777" w:rsidR="007B745A" w:rsidRDefault="007B745A" w:rsidP="00E35756"/>
          <w:p w14:paraId="3B7ACB83" w14:textId="77777777" w:rsidR="007B745A" w:rsidRPr="001D3B78" w:rsidRDefault="007B745A" w:rsidP="00E35756"/>
        </w:tc>
        <w:tc>
          <w:tcPr>
            <w:tcW w:w="1530" w:type="dxa"/>
            <w:vMerge w:val="restart"/>
          </w:tcPr>
          <w:p w14:paraId="70DE2406" w14:textId="77777777" w:rsidR="007B745A" w:rsidRDefault="007B745A" w:rsidP="00E35756">
            <w:r>
              <w:t>Measure 1:</w:t>
            </w:r>
          </w:p>
          <w:p w14:paraId="1518E64E" w14:textId="77777777" w:rsidR="007B745A" w:rsidRDefault="007B745A" w:rsidP="00E35756">
            <w:r>
              <w:t>Behavior 1: 92%</w:t>
            </w:r>
          </w:p>
          <w:p w14:paraId="7747F601" w14:textId="77777777" w:rsidR="007B745A" w:rsidRDefault="007B745A" w:rsidP="00E35756"/>
          <w:p w14:paraId="1EB582FF" w14:textId="77777777" w:rsidR="007B745A" w:rsidRDefault="007B745A" w:rsidP="00E35756">
            <w:r>
              <w:t>Behavior 2:</w:t>
            </w:r>
            <w:r>
              <w:br/>
              <w:t>91%</w:t>
            </w:r>
          </w:p>
          <w:p w14:paraId="346F2337" w14:textId="77777777" w:rsidR="007B745A" w:rsidRDefault="007B745A" w:rsidP="00E35756">
            <w:r>
              <w:br/>
              <w:t>Behavior3:</w:t>
            </w:r>
            <w:r>
              <w:br/>
              <w:t>86%</w:t>
            </w:r>
          </w:p>
          <w:p w14:paraId="26A6BFC3" w14:textId="77777777" w:rsidR="007B745A" w:rsidRDefault="007B745A" w:rsidP="00E35756"/>
        </w:tc>
        <w:tc>
          <w:tcPr>
            <w:tcW w:w="1980" w:type="dxa"/>
            <w:vMerge w:val="restart"/>
          </w:tcPr>
          <w:p w14:paraId="661759F4" w14:textId="77777777" w:rsidR="007B745A" w:rsidRDefault="007B745A" w:rsidP="00E35756"/>
          <w:p w14:paraId="28E2D5BC" w14:textId="77777777" w:rsidR="007B745A" w:rsidRDefault="007B745A" w:rsidP="00E35756">
            <w:r>
              <w:t xml:space="preserve">  </w:t>
            </w:r>
          </w:p>
          <w:p w14:paraId="212E5CF3" w14:textId="77777777" w:rsidR="007B745A" w:rsidRDefault="007B745A" w:rsidP="00E35756">
            <w:pPr>
              <w:jc w:val="center"/>
            </w:pPr>
            <w:r>
              <w:t>(92% + 91% + 86% =269/3=89.67%</w:t>
            </w:r>
          </w:p>
          <w:p w14:paraId="0AB08CFB" w14:textId="77777777" w:rsidR="007B745A" w:rsidRDefault="007B745A" w:rsidP="00E35756">
            <w:pPr>
              <w:jc w:val="center"/>
            </w:pPr>
          </w:p>
          <w:p w14:paraId="321D1D3A" w14:textId="77777777" w:rsidR="007B745A" w:rsidRDefault="007B745A" w:rsidP="00E35756">
            <w:pPr>
              <w:jc w:val="center"/>
            </w:pPr>
          </w:p>
          <w:p w14:paraId="21F6FBB6" w14:textId="77777777" w:rsidR="007B745A" w:rsidRDefault="007B745A" w:rsidP="00E35756">
            <w:pPr>
              <w:jc w:val="center"/>
            </w:pPr>
          </w:p>
          <w:p w14:paraId="1B232D17" w14:textId="77777777" w:rsidR="007B745A" w:rsidRDefault="007B745A" w:rsidP="00E35756">
            <w:pPr>
              <w:jc w:val="center"/>
            </w:pPr>
            <w:r>
              <w:t>89.67%+ 78%=167.67/2=</w:t>
            </w:r>
            <w:r>
              <w:br/>
              <w:t>83.83</w:t>
            </w:r>
            <w:proofErr w:type="gramStart"/>
            <w:r>
              <w:t>%)*</w:t>
            </w:r>
            <w:proofErr w:type="gramEnd"/>
            <w:r>
              <w:t>*</w:t>
            </w:r>
          </w:p>
          <w:p w14:paraId="2F859922" w14:textId="77777777" w:rsidR="007B745A" w:rsidRPr="006A0E5B" w:rsidRDefault="007B745A" w:rsidP="00CA10E0">
            <w:pPr>
              <w:jc w:val="center"/>
              <w:rPr>
                <w:b/>
              </w:rPr>
            </w:pPr>
            <w:r w:rsidRPr="006A0E5B">
              <w:rPr>
                <w:b/>
              </w:rPr>
              <w:t xml:space="preserve">83.83%  </w:t>
            </w:r>
          </w:p>
        </w:tc>
        <w:tc>
          <w:tcPr>
            <w:tcW w:w="1350" w:type="dxa"/>
            <w:vMerge w:val="restart"/>
          </w:tcPr>
          <w:p w14:paraId="335075A9" w14:textId="77777777" w:rsidR="007B745A" w:rsidRDefault="007B745A" w:rsidP="00E35756">
            <w:pPr>
              <w:jc w:val="center"/>
            </w:pPr>
          </w:p>
          <w:p w14:paraId="30BE92BC" w14:textId="77777777" w:rsidR="007B745A" w:rsidRDefault="007B745A" w:rsidP="00E35756">
            <w:pPr>
              <w:jc w:val="center"/>
            </w:pPr>
          </w:p>
          <w:p w14:paraId="1A1014EF" w14:textId="77777777" w:rsidR="007B745A" w:rsidRDefault="007B745A" w:rsidP="00E35756">
            <w:pPr>
              <w:jc w:val="center"/>
            </w:pPr>
          </w:p>
          <w:p w14:paraId="75FFD81B" w14:textId="77777777" w:rsidR="007B745A" w:rsidRDefault="007B745A" w:rsidP="00E35756">
            <w:pPr>
              <w:jc w:val="center"/>
            </w:pPr>
          </w:p>
          <w:p w14:paraId="7312885B" w14:textId="77777777" w:rsidR="007B745A" w:rsidRDefault="007B745A" w:rsidP="00E35756">
            <w:pPr>
              <w:jc w:val="center"/>
            </w:pPr>
            <w:r>
              <w:t>No</w:t>
            </w:r>
          </w:p>
        </w:tc>
      </w:tr>
      <w:tr w:rsidR="007B745A" w14:paraId="7950AF88" w14:textId="77777777" w:rsidTr="007B745A">
        <w:trPr>
          <w:trHeight w:val="1250"/>
          <w:jc w:val="center"/>
        </w:trPr>
        <w:tc>
          <w:tcPr>
            <w:tcW w:w="1795" w:type="dxa"/>
            <w:vMerge/>
          </w:tcPr>
          <w:p w14:paraId="640847D5" w14:textId="77777777" w:rsidR="007B745A" w:rsidRDefault="007B745A" w:rsidP="00E35756"/>
        </w:tc>
        <w:tc>
          <w:tcPr>
            <w:tcW w:w="1440" w:type="dxa"/>
            <w:vMerge/>
          </w:tcPr>
          <w:p w14:paraId="2CB89D2F" w14:textId="77777777" w:rsidR="007B745A" w:rsidRDefault="007B745A" w:rsidP="00E35756"/>
        </w:tc>
        <w:tc>
          <w:tcPr>
            <w:tcW w:w="2340" w:type="dxa"/>
            <w:vMerge/>
          </w:tcPr>
          <w:p w14:paraId="4172CFA4" w14:textId="77777777" w:rsidR="007B745A" w:rsidRPr="001D3B78" w:rsidRDefault="007B745A" w:rsidP="00E35756"/>
        </w:tc>
        <w:tc>
          <w:tcPr>
            <w:tcW w:w="1530" w:type="dxa"/>
            <w:vMerge/>
          </w:tcPr>
          <w:p w14:paraId="6C94AFED" w14:textId="77777777" w:rsidR="007B745A" w:rsidRDefault="007B745A" w:rsidP="00E35756"/>
        </w:tc>
        <w:tc>
          <w:tcPr>
            <w:tcW w:w="1980" w:type="dxa"/>
            <w:vMerge/>
          </w:tcPr>
          <w:p w14:paraId="1F2DFFC6" w14:textId="77777777" w:rsidR="007B745A" w:rsidRDefault="007B745A" w:rsidP="00E35756"/>
        </w:tc>
        <w:tc>
          <w:tcPr>
            <w:tcW w:w="1350" w:type="dxa"/>
            <w:vMerge/>
          </w:tcPr>
          <w:p w14:paraId="42BA1F54" w14:textId="77777777" w:rsidR="007B745A" w:rsidRDefault="007B745A" w:rsidP="00E35756"/>
        </w:tc>
      </w:tr>
      <w:tr w:rsidR="007B745A" w14:paraId="49AEC8B3" w14:textId="77777777" w:rsidTr="007B745A">
        <w:trPr>
          <w:trHeight w:val="509"/>
          <w:jc w:val="center"/>
        </w:trPr>
        <w:tc>
          <w:tcPr>
            <w:tcW w:w="1795" w:type="dxa"/>
            <w:vMerge/>
          </w:tcPr>
          <w:p w14:paraId="276AE254" w14:textId="77777777" w:rsidR="007B745A" w:rsidRDefault="007B745A" w:rsidP="00E35756"/>
        </w:tc>
        <w:tc>
          <w:tcPr>
            <w:tcW w:w="1440" w:type="dxa"/>
            <w:vMerge/>
          </w:tcPr>
          <w:p w14:paraId="4A7975F9" w14:textId="77777777" w:rsidR="007B745A" w:rsidRDefault="007B745A" w:rsidP="00E35756"/>
        </w:tc>
        <w:tc>
          <w:tcPr>
            <w:tcW w:w="2340" w:type="dxa"/>
            <w:vMerge/>
          </w:tcPr>
          <w:p w14:paraId="30AFB9E9" w14:textId="77777777" w:rsidR="007B745A" w:rsidRDefault="007B745A" w:rsidP="00E35756"/>
        </w:tc>
        <w:tc>
          <w:tcPr>
            <w:tcW w:w="1530" w:type="dxa"/>
            <w:vMerge/>
          </w:tcPr>
          <w:p w14:paraId="607BDB10" w14:textId="77777777" w:rsidR="007B745A" w:rsidRDefault="007B745A" w:rsidP="00E35756"/>
        </w:tc>
        <w:tc>
          <w:tcPr>
            <w:tcW w:w="1980" w:type="dxa"/>
            <w:vMerge/>
          </w:tcPr>
          <w:p w14:paraId="0A8FD03B" w14:textId="77777777" w:rsidR="007B745A" w:rsidRDefault="007B745A" w:rsidP="00E35756"/>
        </w:tc>
        <w:tc>
          <w:tcPr>
            <w:tcW w:w="1350" w:type="dxa"/>
            <w:vMerge/>
          </w:tcPr>
          <w:p w14:paraId="4A340BA0" w14:textId="77777777" w:rsidR="007B745A" w:rsidRDefault="007B745A" w:rsidP="00E35756"/>
        </w:tc>
      </w:tr>
      <w:tr w:rsidR="007B745A" w14:paraId="04C6B6D6" w14:textId="77777777" w:rsidTr="007B745A">
        <w:trPr>
          <w:jc w:val="center"/>
        </w:trPr>
        <w:tc>
          <w:tcPr>
            <w:tcW w:w="1795" w:type="dxa"/>
            <w:vMerge/>
          </w:tcPr>
          <w:p w14:paraId="5156511F" w14:textId="77777777" w:rsidR="007B745A" w:rsidRDefault="007B745A" w:rsidP="00E35756"/>
        </w:tc>
        <w:tc>
          <w:tcPr>
            <w:tcW w:w="1440" w:type="dxa"/>
            <w:vMerge/>
          </w:tcPr>
          <w:p w14:paraId="7772E0C9" w14:textId="77777777" w:rsidR="007B745A" w:rsidRDefault="007B745A" w:rsidP="00E35756"/>
        </w:tc>
        <w:tc>
          <w:tcPr>
            <w:tcW w:w="2340" w:type="dxa"/>
          </w:tcPr>
          <w:p w14:paraId="0D2666A6" w14:textId="77777777" w:rsidR="007B745A" w:rsidRPr="008E6BA8" w:rsidRDefault="007B745A" w:rsidP="00C27C2D">
            <w:pPr>
              <w:rPr>
                <w:sz w:val="20"/>
                <w:szCs w:val="20"/>
              </w:rPr>
            </w:pPr>
            <w:r w:rsidRPr="008E6BA8">
              <w:rPr>
                <w:sz w:val="20"/>
                <w:szCs w:val="20"/>
              </w:rPr>
              <w:t>Measure 2: Students must score a minimum of 8 out of 10 points.</w:t>
            </w:r>
          </w:p>
        </w:tc>
        <w:tc>
          <w:tcPr>
            <w:tcW w:w="1530" w:type="dxa"/>
          </w:tcPr>
          <w:p w14:paraId="153CA9E0" w14:textId="77777777" w:rsidR="007B745A" w:rsidRDefault="007B745A" w:rsidP="00E35756">
            <w:r>
              <w:t xml:space="preserve">Measure 2: </w:t>
            </w:r>
          </w:p>
          <w:p w14:paraId="534DB95C" w14:textId="77777777" w:rsidR="007B745A" w:rsidRDefault="007B745A" w:rsidP="00E35756">
            <w:r>
              <w:t>78%</w:t>
            </w:r>
          </w:p>
        </w:tc>
        <w:tc>
          <w:tcPr>
            <w:tcW w:w="1980" w:type="dxa"/>
            <w:vMerge/>
          </w:tcPr>
          <w:p w14:paraId="67CCE718" w14:textId="77777777" w:rsidR="007B745A" w:rsidRDefault="007B745A" w:rsidP="00E35756"/>
        </w:tc>
        <w:tc>
          <w:tcPr>
            <w:tcW w:w="1350" w:type="dxa"/>
            <w:vMerge/>
          </w:tcPr>
          <w:p w14:paraId="3ACA7A68" w14:textId="77777777" w:rsidR="007B745A" w:rsidRDefault="007B745A" w:rsidP="00E35756"/>
        </w:tc>
      </w:tr>
    </w:tbl>
    <w:p w14:paraId="42DD0412" w14:textId="1A0A33A2" w:rsidR="00673B0B" w:rsidRDefault="00F3620E" w:rsidP="00D04A6D">
      <w:r>
        <w:t>The accompanying narrative would provide the reader with an explanation of how to understand the table and where the data came from.  The narrative might refer to appendices with more detailed data, etc.</w:t>
      </w:r>
      <w:r w:rsidR="006A0E5B">
        <w:br/>
      </w:r>
      <w:r>
        <w:t xml:space="preserve">*Instruments capturing student learning outcomes for “real or simulated practice situations” will list the </w:t>
      </w:r>
      <w:r w:rsidR="007237DD">
        <w:t>performance</w:t>
      </w:r>
      <w:r>
        <w:t xml:space="preserve"> asso</w:t>
      </w:r>
      <w:r w:rsidR="007237DD">
        <w:t xml:space="preserve">ciated with that competency.  </w:t>
      </w:r>
      <w:r>
        <w:t>Instruments capturing one or more dimension of the competency will provide the dimension(s) that instrument measures.</w:t>
      </w:r>
      <w:r>
        <w:br/>
        <w:t>**Based on the assumption that all results are the same number of students for all four measures</w:t>
      </w:r>
      <w:bookmarkStart w:id="0" w:name="_GoBack"/>
      <w:bookmarkEnd w:id="0"/>
    </w:p>
    <w:sectPr w:rsidR="00673B0B" w:rsidSect="00A94874">
      <w:footerReference w:type="default" r:id="rId7"/>
      <w:headerReference w:type="first" r:id="rId8"/>
      <w:pgSz w:w="15840" w:h="12240" w:orient="landscape"/>
      <w:pgMar w:top="450" w:right="126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54E72" w14:textId="77777777" w:rsidR="008806FD" w:rsidRDefault="008806FD" w:rsidP="00A67E0D">
      <w:pPr>
        <w:spacing w:after="0" w:line="240" w:lineRule="auto"/>
      </w:pPr>
      <w:r>
        <w:separator/>
      </w:r>
    </w:p>
  </w:endnote>
  <w:endnote w:type="continuationSeparator" w:id="0">
    <w:p w14:paraId="23BF3AFD" w14:textId="77777777" w:rsidR="008806FD" w:rsidRDefault="008806FD" w:rsidP="00A67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Bold">
    <w:altName w:val="TradeGothic Bold"/>
    <w:panose1 w:val="00000000000000000000"/>
    <w:charset w:val="00"/>
    <w:family w:val="swiss"/>
    <w:notTrueType/>
    <w:pitch w:val="default"/>
    <w:sig w:usb0="00000003" w:usb1="00000000" w:usb2="00000000" w:usb3="00000000" w:csb0="00000001"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14924" w14:textId="22A62E6C" w:rsidR="00341924" w:rsidRDefault="00341924">
    <w:pPr>
      <w:pStyle w:val="Footer"/>
    </w:pPr>
    <w:r>
      <w:rPr>
        <w:noProof/>
      </w:rPr>
      <mc:AlternateContent>
        <mc:Choice Requires="wpg">
          <w:drawing>
            <wp:anchor distT="0" distB="0" distL="114300" distR="114300" simplePos="0" relativeHeight="251659264" behindDoc="0" locked="0" layoutInCell="1" allowOverlap="1" wp14:anchorId="5C4F970F" wp14:editId="746312A2">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D7FD21" w14:textId="7247A55C" w:rsidR="00341924" w:rsidRDefault="00341924">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Updated 4.18.201</w:t>
                                </w:r>
                                <w:r w:rsidR="007F5086">
                                  <w:rPr>
                                    <w:caps/>
                                    <w:color w:val="5B9BD5" w:themeColor="accent1"/>
                                    <w:sz w:val="20"/>
                                    <w:szCs w:val="20"/>
                                  </w:rPr>
                                  <w:t>8</w:t>
                                </w:r>
                              </w:sdtContent>
                            </w:sdt>
                            <w:r>
                              <w:rPr>
                                <w:caps/>
                                <w:color w:val="808080" w:themeColor="background1" w:themeShade="80"/>
                                <w:sz w:val="20"/>
                                <w:szCs w:val="20"/>
                              </w:rPr>
                              <w:t>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C4F970F"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0D7FD21" w14:textId="7247A55C" w:rsidR="00341924" w:rsidRDefault="00341924">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Updated 4.18.201</w:t>
                          </w:r>
                          <w:r w:rsidR="007F5086">
                            <w:rPr>
                              <w:caps/>
                              <w:color w:val="5B9BD5" w:themeColor="accent1"/>
                              <w:sz w:val="20"/>
                              <w:szCs w:val="20"/>
                            </w:rPr>
                            <w:t>8</w:t>
                          </w:r>
                        </w:sdtContent>
                      </w:sdt>
                      <w:r>
                        <w:rPr>
                          <w:caps/>
                          <w:color w:val="808080" w:themeColor="background1" w:themeShade="80"/>
                          <w:sz w:val="20"/>
                          <w:szCs w:val="20"/>
                        </w:rPr>
                        <w:t> </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20852" w14:textId="77777777" w:rsidR="008806FD" w:rsidRDefault="008806FD" w:rsidP="00A67E0D">
      <w:pPr>
        <w:spacing w:after="0" w:line="240" w:lineRule="auto"/>
      </w:pPr>
      <w:r>
        <w:separator/>
      </w:r>
    </w:p>
  </w:footnote>
  <w:footnote w:type="continuationSeparator" w:id="0">
    <w:p w14:paraId="67360D33" w14:textId="77777777" w:rsidR="008806FD" w:rsidRDefault="008806FD" w:rsidP="00A67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33707" w14:textId="77777777" w:rsidR="00FD6F44" w:rsidRPr="00207F23" w:rsidRDefault="00FD6F44" w:rsidP="007A2BCF">
    <w:pPr>
      <w:pStyle w:val="Default"/>
      <w:jc w:val="center"/>
      <w:rPr>
        <w:rFonts w:cs="TradeGothic Bold"/>
        <w:b/>
        <w:bCs/>
        <w:color w:val="auto"/>
        <w:szCs w:val="23"/>
      </w:rPr>
    </w:pPr>
    <w:r w:rsidRPr="00207F23">
      <w:rPr>
        <w:rFonts w:cs="TradeGothic Bold"/>
        <w:b/>
        <w:bCs/>
        <w:color w:val="auto"/>
        <w:szCs w:val="23"/>
      </w:rPr>
      <w:t>Educational Policy M2.1—Specialized Practice</w:t>
    </w:r>
  </w:p>
  <w:p w14:paraId="0952D3F9" w14:textId="77777777" w:rsidR="00FD6F44" w:rsidRPr="00207F23" w:rsidRDefault="00FD6F44" w:rsidP="007A2BCF">
    <w:pPr>
      <w:pStyle w:val="Default"/>
      <w:jc w:val="center"/>
      <w:rPr>
        <w:b/>
        <w:bCs/>
        <w:color w:val="auto"/>
        <w:szCs w:val="22"/>
      </w:rPr>
    </w:pPr>
  </w:p>
  <w:p w14:paraId="499AB56C" w14:textId="77777777" w:rsidR="00FD6F44" w:rsidRPr="00B75573" w:rsidRDefault="00FD6F44" w:rsidP="007A2BCF">
    <w:pPr>
      <w:pStyle w:val="Default"/>
      <w:rPr>
        <w:b/>
        <w:bCs/>
        <w:sz w:val="22"/>
        <w:szCs w:val="22"/>
      </w:rPr>
    </w:pPr>
    <w:r w:rsidRPr="00B75573">
      <w:rPr>
        <w:rFonts w:cs="TradeGothic Light"/>
        <w:color w:val="211D1E"/>
        <w:sz w:val="22"/>
        <w:szCs w:val="22"/>
      </w:rPr>
      <w:t xml:space="preserve">The master’s program in social work prepares students for specialized practice. Programs identify the specialized knowledge, values, skills, cognitive and affective processes, and behaviors that extend and enhance the nine Social Work Competencies and prepare students for practice </w:t>
    </w:r>
    <w:proofErr w:type="gramStart"/>
    <w:r w:rsidRPr="00B75573">
      <w:rPr>
        <w:rFonts w:cs="TradeGothic Light"/>
        <w:color w:val="211D1E"/>
        <w:sz w:val="22"/>
        <w:szCs w:val="22"/>
      </w:rPr>
      <w:t>in the area of</w:t>
    </w:r>
    <w:proofErr w:type="gramEnd"/>
    <w:r w:rsidRPr="00B75573">
      <w:rPr>
        <w:rFonts w:cs="TradeGothic Light"/>
        <w:color w:val="211D1E"/>
        <w:sz w:val="22"/>
        <w:szCs w:val="22"/>
      </w:rPr>
      <w:t xml:space="preserve"> specialization.</w:t>
    </w:r>
  </w:p>
  <w:p w14:paraId="4F2ED264" w14:textId="77777777" w:rsidR="00FD6F44" w:rsidRPr="00B75573" w:rsidRDefault="00FD6F44" w:rsidP="007A2BCF">
    <w:pPr>
      <w:pStyle w:val="Default"/>
      <w:rPr>
        <w:b/>
        <w:i/>
        <w:sz w:val="22"/>
        <w:szCs w:val="22"/>
      </w:rPr>
    </w:pPr>
  </w:p>
  <w:p w14:paraId="524A1E38" w14:textId="77777777" w:rsidR="00FD6F44" w:rsidRDefault="00FD6F44" w:rsidP="007A2BCF">
    <w:pPr>
      <w:pStyle w:val="Default"/>
      <w:jc w:val="center"/>
      <w:rPr>
        <w:b/>
        <w:sz w:val="22"/>
        <w:szCs w:val="22"/>
      </w:rPr>
    </w:pPr>
    <w:r w:rsidRPr="00B75573">
      <w:rPr>
        <w:b/>
        <w:sz w:val="22"/>
        <w:szCs w:val="22"/>
      </w:rPr>
      <w:t>Example responses to standards</w:t>
    </w:r>
  </w:p>
  <w:p w14:paraId="007626A9" w14:textId="77777777" w:rsidR="00FD6F44" w:rsidRPr="00B75573" w:rsidRDefault="00FD6F44" w:rsidP="007A2BCF">
    <w:pPr>
      <w:pStyle w:val="Default"/>
      <w:jc w:val="center"/>
      <w:rPr>
        <w:b/>
        <w:bCs/>
        <w:sz w:val="22"/>
        <w:szCs w:val="22"/>
      </w:rPr>
    </w:pPr>
    <w:r w:rsidRPr="00B75573">
      <w:rPr>
        <w:b/>
        <w:bCs/>
        <w:sz w:val="22"/>
        <w:szCs w:val="22"/>
      </w:rPr>
      <w:t>Accreditation Standard M2.1—Specialized Practice</w:t>
    </w:r>
  </w:p>
  <w:p w14:paraId="4FB5CC7A" w14:textId="77777777" w:rsidR="00FD6F44" w:rsidRDefault="00FD6F44" w:rsidP="007A2BCF">
    <w:pPr>
      <w:pStyle w:val="Default"/>
      <w:rPr>
        <w:b/>
        <w:i/>
        <w:sz w:val="22"/>
        <w:szCs w:val="22"/>
      </w:rPr>
    </w:pPr>
  </w:p>
  <w:p w14:paraId="0C724F2C" w14:textId="77777777" w:rsidR="00FD6F44" w:rsidRDefault="00FD6F44" w:rsidP="007A2BCF">
    <w:pPr>
      <w:pStyle w:val="Default"/>
      <w:rPr>
        <w:i/>
        <w:sz w:val="22"/>
        <w:szCs w:val="22"/>
      </w:rPr>
    </w:pPr>
    <w:r w:rsidRPr="00B75573">
      <w:rPr>
        <w:b/>
        <w:i/>
        <w:sz w:val="22"/>
        <w:szCs w:val="22"/>
      </w:rPr>
      <w:t xml:space="preserve">M2.1.1 </w:t>
    </w:r>
    <w:r w:rsidRPr="00B75573">
      <w:rPr>
        <w:i/>
        <w:sz w:val="22"/>
        <w:szCs w:val="22"/>
      </w:rPr>
      <w:t>The program identifies its area(s) of specialized practice (EP M2.1</w:t>
    </w:r>
    <w:proofErr w:type="gramStart"/>
    <w:r w:rsidRPr="00B75573">
      <w:rPr>
        <w:i/>
        <w:sz w:val="22"/>
        <w:szCs w:val="22"/>
      </w:rPr>
      <w:t>), and</w:t>
    </w:r>
    <w:proofErr w:type="gramEnd"/>
    <w:r w:rsidRPr="00B75573">
      <w:rPr>
        <w:i/>
        <w:sz w:val="22"/>
        <w:szCs w:val="22"/>
      </w:rPr>
      <w:t xml:space="preserve"> demonstrates how it builds on</w:t>
    </w:r>
    <w:r>
      <w:rPr>
        <w:i/>
        <w:sz w:val="22"/>
        <w:szCs w:val="22"/>
      </w:rPr>
      <w:t xml:space="preserve"> </w:t>
    </w:r>
    <w:r w:rsidRPr="00B75573">
      <w:rPr>
        <w:i/>
        <w:sz w:val="22"/>
        <w:szCs w:val="22"/>
      </w:rPr>
      <w:t>generalist practice.</w:t>
    </w:r>
  </w:p>
  <w:p w14:paraId="18540AAD" w14:textId="77777777" w:rsidR="00FD6F44" w:rsidRPr="00B75573" w:rsidRDefault="00FD6F44" w:rsidP="007A2BCF">
    <w:pPr>
      <w:pStyle w:val="Default"/>
      <w:rPr>
        <w:sz w:val="22"/>
        <w:szCs w:val="22"/>
      </w:rPr>
    </w:pPr>
  </w:p>
  <w:p w14:paraId="6B2A5175" w14:textId="77777777" w:rsidR="00FD6F44" w:rsidRPr="00B75573" w:rsidRDefault="00FD6F44" w:rsidP="007A2BCF">
    <w:pPr>
      <w:pStyle w:val="Default"/>
      <w:jc w:val="center"/>
      <w:rPr>
        <w:sz w:val="22"/>
        <w:szCs w:val="22"/>
      </w:rPr>
    </w:pPr>
    <w:r w:rsidRPr="00B75573">
      <w:rPr>
        <w:sz w:val="22"/>
        <w:szCs w:val="22"/>
      </w:rPr>
      <w:t>MSW Advanced Curriculum for Clinical Social Work Practice</w:t>
    </w:r>
  </w:p>
  <w:p w14:paraId="5183E1B3" w14:textId="77777777" w:rsidR="00FD6F44" w:rsidRDefault="00FD6F44" w:rsidP="007A2BCF">
    <w:pPr>
      <w:pStyle w:val="Default"/>
      <w:rPr>
        <w:sz w:val="22"/>
        <w:szCs w:val="22"/>
      </w:rPr>
    </w:pPr>
  </w:p>
  <w:p w14:paraId="4B7674F5" w14:textId="77777777" w:rsidR="00FD6F44" w:rsidRPr="00B75573" w:rsidRDefault="00FD6F44" w:rsidP="007A2BCF">
    <w:pPr>
      <w:pStyle w:val="Default"/>
      <w:rPr>
        <w:sz w:val="22"/>
        <w:szCs w:val="22"/>
      </w:rPr>
    </w:pPr>
    <w:r w:rsidRPr="00B75573">
      <w:rPr>
        <w:sz w:val="22"/>
        <w:szCs w:val="22"/>
      </w:rPr>
      <w:t xml:space="preserve">Clinical social work practice augments the </w:t>
    </w:r>
    <w:r>
      <w:rPr>
        <w:sz w:val="22"/>
        <w:szCs w:val="22"/>
      </w:rPr>
      <w:t>generalist social work</w:t>
    </w:r>
    <w:r w:rsidRPr="00B75573">
      <w:rPr>
        <w:sz w:val="22"/>
        <w:szCs w:val="22"/>
      </w:rPr>
      <w:t xml:space="preserve"> competencies and is grounded in the values of the profession:</w:t>
    </w:r>
    <w:r>
      <w:rPr>
        <w:sz w:val="22"/>
        <w:szCs w:val="22"/>
      </w:rPr>
      <w:t xml:space="preserve">  s</w:t>
    </w:r>
    <w:r w:rsidRPr="00B75573">
      <w:rPr>
        <w:sz w:val="22"/>
        <w:szCs w:val="22"/>
      </w:rPr>
      <w:t>ervice, social justice, the dignity and worth of the person, the importance of human relationships, integrity,</w:t>
    </w:r>
    <w:r>
      <w:rPr>
        <w:sz w:val="22"/>
        <w:szCs w:val="22"/>
      </w:rPr>
      <w:t xml:space="preserve"> </w:t>
    </w:r>
    <w:r w:rsidRPr="00B75573">
      <w:rPr>
        <w:sz w:val="22"/>
        <w:szCs w:val="22"/>
      </w:rPr>
      <w:t xml:space="preserve">competence, human rights, and scientific inquiry are among the core values of social work. </w:t>
    </w:r>
  </w:p>
  <w:p w14:paraId="1A71A82F" w14:textId="77777777" w:rsidR="00FD6F44" w:rsidRDefault="00FD6F44" w:rsidP="007A2BCF">
    <w:pPr>
      <w:pStyle w:val="Default"/>
      <w:rPr>
        <w:b/>
        <w:i/>
        <w:sz w:val="22"/>
        <w:szCs w:val="22"/>
      </w:rPr>
    </w:pPr>
    <w:r w:rsidRPr="00B75573">
      <w:rPr>
        <w:b/>
        <w:i/>
        <w:sz w:val="22"/>
        <w:szCs w:val="22"/>
      </w:rPr>
      <w:t>____________________________________________________________________________</w:t>
    </w:r>
  </w:p>
  <w:p w14:paraId="154DCA00" w14:textId="77777777" w:rsidR="00FD6F44" w:rsidRDefault="00FD6F44" w:rsidP="007A2BCF">
    <w:pPr>
      <w:pStyle w:val="Default"/>
      <w:rPr>
        <w:b/>
        <w:i/>
        <w:sz w:val="22"/>
        <w:szCs w:val="22"/>
      </w:rPr>
    </w:pPr>
  </w:p>
  <w:p w14:paraId="644B1AF2" w14:textId="77777777" w:rsidR="00FD6F44" w:rsidRPr="00B75573" w:rsidRDefault="00FD6F44" w:rsidP="007A2BCF">
    <w:pPr>
      <w:pStyle w:val="Default"/>
      <w:rPr>
        <w:i/>
        <w:sz w:val="22"/>
        <w:szCs w:val="22"/>
      </w:rPr>
    </w:pPr>
    <w:r w:rsidRPr="00B75573">
      <w:rPr>
        <w:b/>
        <w:i/>
        <w:sz w:val="22"/>
        <w:szCs w:val="22"/>
      </w:rPr>
      <w:t>M2.1.3</w:t>
    </w:r>
    <w:r w:rsidRPr="00B75573">
      <w:rPr>
        <w:i/>
        <w:sz w:val="22"/>
        <w:szCs w:val="22"/>
      </w:rPr>
      <w:t xml:space="preserve"> The program describes how its area(s) of specialized practice extend and enhance the nine Social Work Competencies (and any additional competencies developed by the program) to prepare students for practice in the area(s) of specialization.</w:t>
    </w:r>
  </w:p>
  <w:p w14:paraId="3055918D" w14:textId="77777777" w:rsidR="00FD6F44" w:rsidRDefault="00FD6F44" w:rsidP="007A2BCF">
    <w:pPr>
      <w:jc w:val="center"/>
      <w:rPr>
        <w:rFonts w:ascii="Arial" w:eastAsiaTheme="minorEastAsia" w:hAnsi="Arial" w:cs="Arial"/>
        <w:color w:val="000000"/>
      </w:rPr>
    </w:pPr>
  </w:p>
  <w:p w14:paraId="5DBDADAE" w14:textId="77777777" w:rsidR="00FD6F44" w:rsidRDefault="00FD6F44" w:rsidP="007A2BCF">
    <w:pPr>
      <w:jc w:val="center"/>
      <w:rPr>
        <w:rFonts w:ascii="Arial" w:eastAsiaTheme="minorEastAsia" w:hAnsi="Arial" w:cs="Arial"/>
        <w:color w:val="000000"/>
      </w:rPr>
    </w:pPr>
    <w:r w:rsidRPr="00C94BCD">
      <w:rPr>
        <w:rFonts w:ascii="Arial" w:eastAsiaTheme="minorEastAsia" w:hAnsi="Arial" w:cs="Arial"/>
        <w:color w:val="000000"/>
      </w:rPr>
      <w:t>Competency 1: Demonstrate Ethical and Professional Behavior</w:t>
    </w:r>
  </w:p>
  <w:p w14:paraId="50BCD5C9" w14:textId="77777777" w:rsidR="00FD6F44" w:rsidRPr="00C94BCD" w:rsidRDefault="00FD6F44" w:rsidP="007A2BCF">
    <w:pPr>
      <w:rPr>
        <w:rFonts w:ascii="Arial" w:eastAsiaTheme="minorEastAsia" w:hAnsi="Arial" w:cs="Arial"/>
        <w:color w:val="000000"/>
      </w:rPr>
    </w:pPr>
    <w:r w:rsidRPr="00C94BCD">
      <w:rPr>
        <w:rFonts w:ascii="Arial" w:eastAsiaTheme="minorEastAsia" w:hAnsi="Arial" w:cs="Arial"/>
        <w:color w:val="000000"/>
      </w:rPr>
      <w:t>Practitioners in clinical social work recognize the importance of the therapeutic relationship, the person-­</w:t>
    </w:r>
    <w:r w:rsidRPr="00C94BCD">
      <w:rPr>
        <w:rFonts w:ascii="Cambria Math" w:eastAsiaTheme="minorEastAsia" w:hAnsi="Cambria Math" w:cs="Cambria Math"/>
        <w:color w:val="000000"/>
      </w:rPr>
      <w:t>‐</w:t>
    </w:r>
    <w:r w:rsidRPr="00C94BCD">
      <w:rPr>
        <w:rFonts w:ascii="Arial" w:eastAsiaTheme="minorEastAsia" w:hAnsi="Arial" w:cs="Arial"/>
        <w:color w:val="000000"/>
      </w:rPr>
      <w:t>in-­environment and the strengths perspectives, the professional use of self with clients, and adherence to ethical guid</w:t>
    </w:r>
    <w:r>
      <w:rPr>
        <w:rFonts w:ascii="Arial" w:eastAsiaTheme="minorEastAsia" w:hAnsi="Arial" w:cs="Arial"/>
        <w:color w:val="000000"/>
      </w:rPr>
      <w:t>elines of professional behavior</w:t>
    </w:r>
    <w:r w:rsidRPr="00C94BCD">
      <w:rPr>
        <w:rFonts w:ascii="Arial" w:eastAsiaTheme="minorEastAsia" w:hAnsi="Arial" w:cs="Arial"/>
        <w:color w:val="000000"/>
      </w:rPr>
      <w:t xml:space="preserve"> of professional behavior. Practitioners in clinical social work:  </w:t>
    </w:r>
  </w:p>
  <w:p w14:paraId="7762573C" w14:textId="77777777" w:rsidR="00FD6F44" w:rsidRPr="00C94BCD" w:rsidRDefault="00FD6F44" w:rsidP="007A2BCF">
    <w:pPr>
      <w:pStyle w:val="ListParagraph"/>
      <w:numPr>
        <w:ilvl w:val="0"/>
        <w:numId w:val="12"/>
      </w:numPr>
      <w:rPr>
        <w:rFonts w:ascii="Arial" w:eastAsiaTheme="minorEastAsia" w:hAnsi="Arial" w:cs="Arial"/>
        <w:color w:val="000000"/>
      </w:rPr>
    </w:pPr>
    <w:r w:rsidRPr="00C94BCD">
      <w:rPr>
        <w:rFonts w:ascii="Arial" w:eastAsiaTheme="minorEastAsia" w:hAnsi="Arial" w:cs="Arial"/>
        <w:color w:val="000000"/>
      </w:rPr>
      <w:t>readily identify as social work professionals;</w:t>
    </w:r>
  </w:p>
  <w:p w14:paraId="12B98320" w14:textId="77777777" w:rsidR="00FD6F44" w:rsidRPr="00C94BCD" w:rsidRDefault="00FD6F44" w:rsidP="007A2BCF">
    <w:pPr>
      <w:pStyle w:val="ListParagraph"/>
      <w:numPr>
        <w:ilvl w:val="0"/>
        <w:numId w:val="12"/>
      </w:numPr>
      <w:rPr>
        <w:rFonts w:ascii="Arial" w:eastAsiaTheme="minorEastAsia" w:hAnsi="Arial" w:cs="Arial"/>
        <w:color w:val="000000"/>
      </w:rPr>
    </w:pPr>
    <w:r w:rsidRPr="00C94BCD">
      <w:rPr>
        <w:rFonts w:ascii="Arial" w:eastAsiaTheme="minorEastAsia" w:hAnsi="Arial" w:cs="Arial"/>
        <w:color w:val="000000"/>
      </w:rPr>
      <w:t>demonstrate professional use of self with client;</w:t>
    </w:r>
  </w:p>
  <w:p w14:paraId="71E80C82" w14:textId="77777777" w:rsidR="00FD6F44" w:rsidRPr="00C94BCD" w:rsidRDefault="00FD6F44" w:rsidP="007A2BCF">
    <w:pPr>
      <w:pStyle w:val="ListParagraph"/>
      <w:numPr>
        <w:ilvl w:val="0"/>
        <w:numId w:val="12"/>
      </w:numPr>
      <w:rPr>
        <w:rFonts w:ascii="Arial" w:eastAsiaTheme="minorEastAsia" w:hAnsi="Arial" w:cs="Arial"/>
        <w:color w:val="000000"/>
      </w:rPr>
    </w:pPr>
    <w:r w:rsidRPr="00C94BCD">
      <w:rPr>
        <w:rFonts w:ascii="Arial" w:eastAsiaTheme="minorEastAsia" w:hAnsi="Arial" w:cs="Arial"/>
        <w:color w:val="000000"/>
      </w:rPr>
      <w:t>understand and identify professional strengths, limitations and challenges;</w:t>
    </w:r>
  </w:p>
  <w:p w14:paraId="6E34C5AB" w14:textId="77777777" w:rsidR="00FD6F44" w:rsidRPr="00C94BCD" w:rsidRDefault="00FD6F44" w:rsidP="007A2BCF">
    <w:pPr>
      <w:pStyle w:val="ListParagraph"/>
      <w:numPr>
        <w:ilvl w:val="0"/>
        <w:numId w:val="12"/>
      </w:numPr>
      <w:rPr>
        <w:rFonts w:ascii="Arial" w:eastAsiaTheme="minorEastAsia" w:hAnsi="Arial" w:cs="Arial"/>
        <w:color w:val="000000"/>
      </w:rPr>
    </w:pPr>
    <w:r w:rsidRPr="00C94BCD">
      <w:rPr>
        <w:rFonts w:ascii="Arial" w:eastAsiaTheme="minorEastAsia" w:hAnsi="Arial" w:cs="Arial"/>
        <w:color w:val="000000"/>
      </w:rPr>
      <w:t>develop, manage, and maintain therapeutic relationships with clients within the person-­</w:t>
    </w:r>
    <w:r w:rsidRPr="00C94BCD">
      <w:rPr>
        <w:rFonts w:ascii="Cambria Math" w:eastAsiaTheme="minorEastAsia" w:hAnsi="Cambria Math" w:cs="Cambria Math"/>
        <w:color w:val="000000"/>
      </w:rPr>
      <w:t>‐</w:t>
    </w:r>
    <w:r w:rsidRPr="00C94BCD">
      <w:rPr>
        <w:rFonts w:ascii="Arial" w:eastAsiaTheme="minorEastAsia" w:hAnsi="Arial" w:cs="Arial"/>
        <w:color w:val="000000"/>
      </w:rPr>
      <w:t>in-­</w:t>
    </w:r>
    <w:r w:rsidRPr="00C94BCD">
      <w:rPr>
        <w:rFonts w:ascii="Cambria Math" w:eastAsiaTheme="minorEastAsia" w:hAnsi="Cambria Math" w:cs="Cambria Math"/>
        <w:color w:val="000000"/>
      </w:rPr>
      <w:t>‐</w:t>
    </w:r>
    <w:r w:rsidRPr="00C94BCD">
      <w:rPr>
        <w:rFonts w:ascii="Arial" w:eastAsiaTheme="minorEastAsia" w:hAnsi="Arial" w:cs="Arial"/>
        <w:color w:val="000000"/>
      </w:rPr>
      <w:t>environment and strengths perspectives; and</w:t>
    </w:r>
  </w:p>
  <w:p w14:paraId="7990276E" w14:textId="77777777" w:rsidR="00FD6F44" w:rsidRPr="00B75573" w:rsidRDefault="00FD6F44" w:rsidP="007A2BCF">
    <w:pPr>
      <w:pStyle w:val="ListParagraph"/>
      <w:numPr>
        <w:ilvl w:val="0"/>
        <w:numId w:val="12"/>
      </w:numPr>
      <w:rPr>
        <w:b/>
        <w:color w:val="000000"/>
      </w:rPr>
    </w:pPr>
    <w:r w:rsidRPr="00C94BCD">
      <w:rPr>
        <w:rFonts w:ascii="Arial" w:eastAsiaTheme="minorEastAsia" w:hAnsi="Arial" w:cs="Arial"/>
        <w:color w:val="000000"/>
      </w:rPr>
      <w:t>understand the need for and use clinical social work supervision and consultation.</w:t>
    </w:r>
  </w:p>
  <w:p w14:paraId="2A459FF9" w14:textId="77777777" w:rsidR="00FD6F44" w:rsidRDefault="00FD6F44" w:rsidP="007A2BCF">
    <w:pPr>
      <w:pStyle w:val="NoSpacing"/>
      <w:jc w:val="center"/>
      <w:rPr>
        <w:rFonts w:ascii="Arial" w:hAnsi="Arial" w:cs="Arial"/>
      </w:rPr>
    </w:pPr>
    <w:r>
      <w:rPr>
        <w:rFonts w:ascii="Arial" w:hAnsi="Arial" w:cs="Arial"/>
      </w:rPr>
      <w:t xml:space="preserve">Competency 2:  Engage in Diversity and Difference </w:t>
    </w:r>
  </w:p>
  <w:p w14:paraId="4C16D46B" w14:textId="77777777" w:rsidR="00FD6F44" w:rsidRDefault="00FD6F44" w:rsidP="007A2BCF">
    <w:pPr>
      <w:pStyle w:val="NoSpacing"/>
      <w:rPr>
        <w:rFonts w:ascii="Arial" w:hAnsi="Arial" w:cs="Arial"/>
      </w:rPr>
    </w:pPr>
  </w:p>
  <w:p w14:paraId="22DFF938" w14:textId="77777777" w:rsidR="00FD6F44" w:rsidRDefault="00FD6F44" w:rsidP="007A2BCF">
    <w:pPr>
      <w:pStyle w:val="NoSpacing"/>
      <w:rPr>
        <w:rFonts w:ascii="Arial" w:hAnsi="Arial" w:cs="Arial"/>
      </w:rPr>
    </w:pPr>
    <w:r w:rsidRPr="00207F23">
      <w:rPr>
        <w:rFonts w:ascii="Arial" w:hAnsi="Arial" w:cs="Arial"/>
      </w:rPr>
      <w:t>Practitioners in clinical social work are knowledgeable about many forms of diversity and difference and how these influence the</w:t>
    </w:r>
    <w:r>
      <w:rPr>
        <w:rFonts w:ascii="Arial" w:hAnsi="Arial" w:cs="Arial"/>
      </w:rPr>
      <w:t xml:space="preserve"> therapeutic relationship and client’s presenting issues.  The </w:t>
    </w:r>
    <w:r w:rsidRPr="00207F23">
      <w:rPr>
        <w:rFonts w:ascii="Arial" w:hAnsi="Arial" w:cs="Arial"/>
      </w:rPr>
      <w:t>various dimensions of diversity affect (a) explanations of illness, (b) help-­</w:t>
    </w:r>
    <w:r w:rsidRPr="00207F23">
      <w:rPr>
        <w:rFonts w:ascii="Cambria Math" w:hAnsi="Cambria Math" w:cs="Cambria Math"/>
      </w:rPr>
      <w:t>‐</w:t>
    </w:r>
    <w:r w:rsidRPr="00207F23">
      <w:rPr>
        <w:rFonts w:ascii="Arial" w:hAnsi="Arial" w:cs="Arial"/>
      </w:rPr>
      <w:t>seeking behaviors, and (c) healing</w:t>
    </w:r>
    <w:r>
      <w:rPr>
        <w:rFonts w:ascii="Arial" w:hAnsi="Arial" w:cs="Arial"/>
      </w:rPr>
      <w:t xml:space="preserve"> </w:t>
    </w:r>
    <w:r w:rsidRPr="00207F23">
      <w:rPr>
        <w:rFonts w:ascii="Arial" w:hAnsi="Arial" w:cs="Arial"/>
      </w:rPr>
      <w:t xml:space="preserve">practices.  Practitioners in clinical social work are cultural beings and understand how clinical practice choices </w:t>
    </w:r>
    <w:proofErr w:type="gramStart"/>
    <w:r w:rsidRPr="00207F23">
      <w:rPr>
        <w:rFonts w:ascii="Arial" w:hAnsi="Arial" w:cs="Arial"/>
      </w:rPr>
      <w:t>can</w:t>
    </w:r>
    <w:r>
      <w:rPr>
        <w:rFonts w:ascii="Arial" w:hAnsi="Arial" w:cs="Arial"/>
      </w:rPr>
      <w:t xml:space="preserve"> </w:t>
    </w:r>
    <w:r w:rsidRPr="00207F23">
      <w:rPr>
        <w:rFonts w:ascii="Arial" w:hAnsi="Arial" w:cs="Arial"/>
      </w:rPr>
      <w:t>be culture</w:t>
    </w:r>
    <w:proofErr w:type="gramEnd"/>
    <w:r w:rsidRPr="00207F23">
      <w:rPr>
        <w:rFonts w:ascii="Arial" w:hAnsi="Arial" w:cs="Arial"/>
      </w:rPr>
      <w:t>-­</w:t>
    </w:r>
    <w:r w:rsidRPr="00207F23">
      <w:rPr>
        <w:rFonts w:ascii="Cambria Math" w:hAnsi="Cambria Math" w:cs="Cambria Math"/>
      </w:rPr>
      <w:t>‐</w:t>
    </w:r>
    <w:r w:rsidRPr="00207F23">
      <w:rPr>
        <w:rFonts w:ascii="Arial" w:hAnsi="Arial" w:cs="Arial"/>
      </w:rPr>
      <w:t xml:space="preserve">bound. Practitioners in clinical social work:  </w:t>
    </w:r>
  </w:p>
  <w:p w14:paraId="0568A5D9" w14:textId="77777777" w:rsidR="00FD6F44" w:rsidRPr="00207F23" w:rsidRDefault="00FD6F44" w:rsidP="007A2BCF">
    <w:pPr>
      <w:pStyle w:val="ListParagraph"/>
      <w:numPr>
        <w:ilvl w:val="0"/>
        <w:numId w:val="13"/>
      </w:numPr>
      <w:autoSpaceDE w:val="0"/>
      <w:autoSpaceDN w:val="0"/>
      <w:adjustRightInd w:val="0"/>
      <w:spacing w:after="0" w:line="240" w:lineRule="auto"/>
      <w:rPr>
        <w:rFonts w:ascii="Arial" w:hAnsi="Arial" w:cs="Arial"/>
      </w:rPr>
    </w:pPr>
    <w:r w:rsidRPr="00207F23">
      <w:rPr>
        <w:rFonts w:ascii="Arial" w:hAnsi="Arial" w:cs="Arial"/>
      </w:rPr>
      <w:t>research and apply knowledge of diverse populations to enhance client wellbeing;</w:t>
    </w:r>
  </w:p>
  <w:p w14:paraId="1AAF3AC5" w14:textId="77777777" w:rsidR="00FD6F44" w:rsidRPr="00207F23" w:rsidRDefault="00FD6F44" w:rsidP="007A2BCF">
    <w:pPr>
      <w:pStyle w:val="ListParagraph"/>
      <w:numPr>
        <w:ilvl w:val="0"/>
        <w:numId w:val="13"/>
      </w:numPr>
      <w:autoSpaceDE w:val="0"/>
      <w:autoSpaceDN w:val="0"/>
      <w:adjustRightInd w:val="0"/>
      <w:spacing w:after="0" w:line="240" w:lineRule="auto"/>
      <w:rPr>
        <w:rFonts w:ascii="Arial" w:hAnsi="Arial" w:cs="Arial"/>
      </w:rPr>
    </w:pPr>
    <w:r w:rsidRPr="00207F23">
      <w:rPr>
        <w:rFonts w:ascii="Arial" w:hAnsi="Arial" w:cs="Arial"/>
      </w:rPr>
      <w:t>work effectively with diverse populations; and</w:t>
    </w:r>
  </w:p>
  <w:p w14:paraId="4F6E4F3D" w14:textId="77777777" w:rsidR="00FD6F44" w:rsidRPr="00207F23" w:rsidRDefault="00FD6F44" w:rsidP="007A2BCF">
    <w:pPr>
      <w:pStyle w:val="NoSpacing"/>
      <w:numPr>
        <w:ilvl w:val="0"/>
        <w:numId w:val="13"/>
      </w:numPr>
      <w:rPr>
        <w:rFonts w:ascii="Arial" w:hAnsi="Arial" w:cs="Arial"/>
        <w:b/>
        <w:color w:val="000000"/>
      </w:rPr>
    </w:pPr>
    <w:r w:rsidRPr="00207F23">
      <w:rPr>
        <w:rFonts w:ascii="Arial" w:hAnsi="Arial" w:cs="Arial"/>
      </w:rPr>
      <w:t xml:space="preserve">identify and use practitioner/client differences from a </w:t>
    </w:r>
    <w:proofErr w:type="gramStart"/>
    <w:r w:rsidRPr="00207F23">
      <w:rPr>
        <w:rFonts w:ascii="Arial" w:hAnsi="Arial" w:cs="Arial"/>
      </w:rPr>
      <w:t>strengths</w:t>
    </w:r>
    <w:proofErr w:type="gramEnd"/>
    <w:r w:rsidRPr="00207F23">
      <w:rPr>
        <w:rFonts w:ascii="Arial" w:hAnsi="Arial" w:cs="Arial"/>
      </w:rPr>
      <w:t xml:space="preserve"> perspective.</w:t>
    </w:r>
  </w:p>
  <w:p w14:paraId="55E2AF6D" w14:textId="77777777" w:rsidR="00FD6F44" w:rsidRPr="00B75573" w:rsidRDefault="00FD6F44" w:rsidP="007A2BCF">
    <w:pPr>
      <w:pStyle w:val="NoSpacing"/>
      <w:rPr>
        <w:b/>
        <w:color w:val="000000"/>
      </w:rPr>
    </w:pPr>
  </w:p>
  <w:p w14:paraId="7470C163" w14:textId="77777777" w:rsidR="00FD6F44" w:rsidRDefault="00FD6F44" w:rsidP="007A2BCF">
    <w:pPr>
      <w:rPr>
        <w:rFonts w:ascii="Arial" w:hAnsi="Arial" w:cs="Arial"/>
        <w:b/>
        <w:bCs/>
        <w:i/>
        <w:color w:val="000000"/>
      </w:rPr>
    </w:pPr>
  </w:p>
  <w:p w14:paraId="24B7D62C" w14:textId="77777777" w:rsidR="00FD6F44" w:rsidRDefault="00FD6F44" w:rsidP="007A2BCF">
    <w:pPr>
      <w:rPr>
        <w:rFonts w:ascii="Arial" w:hAnsi="Arial" w:cs="Arial"/>
        <w:b/>
        <w:bCs/>
        <w:i/>
        <w:color w:val="000000"/>
      </w:rPr>
    </w:pPr>
  </w:p>
  <w:p w14:paraId="3BA01C58" w14:textId="77777777" w:rsidR="00FD6F44" w:rsidRDefault="00FD6F44" w:rsidP="007A2BCF">
    <w:pPr>
      <w:rPr>
        <w:rFonts w:ascii="Arial" w:hAnsi="Arial" w:cs="Arial"/>
        <w:b/>
        <w:bCs/>
        <w:i/>
        <w:color w:val="000000"/>
      </w:rPr>
    </w:pPr>
  </w:p>
  <w:p w14:paraId="086C24F4" w14:textId="77777777" w:rsidR="00FD6F44" w:rsidRPr="00B75573" w:rsidRDefault="00FD6F44" w:rsidP="007A2BCF">
    <w:pPr>
      <w:rPr>
        <w:rFonts w:ascii="Arial" w:hAnsi="Arial" w:cs="Arial"/>
        <w:i/>
        <w:color w:val="000000"/>
      </w:rPr>
    </w:pPr>
    <w:r w:rsidRPr="00B75573">
      <w:rPr>
        <w:rFonts w:ascii="Arial" w:hAnsi="Arial" w:cs="Arial"/>
        <w:b/>
        <w:bCs/>
        <w:i/>
        <w:color w:val="000000"/>
      </w:rPr>
      <w:t xml:space="preserve">M2.1.4 </w:t>
    </w:r>
    <w:r w:rsidRPr="00B75573">
      <w:rPr>
        <w:rFonts w:ascii="Arial" w:hAnsi="Arial" w:cs="Arial"/>
        <w:i/>
        <w:color w:val="000000"/>
      </w:rPr>
      <w:t>For each area of specialized practice, the program provides a matrix that illustrates how its curriculum content implements the nine required social work competencies and any additional competencies added by the program.</w:t>
    </w:r>
  </w:p>
  <w:p w14:paraId="37D254F8" w14:textId="77777777" w:rsidR="00FD6F44" w:rsidRDefault="00FD6F44" w:rsidP="007A2BCF">
    <w:pPr>
      <w:pStyle w:val="Default"/>
      <w:jc w:val="center"/>
      <w:rPr>
        <w:b/>
        <w:sz w:val="20"/>
        <w:szCs w:val="20"/>
      </w:rPr>
    </w:pPr>
  </w:p>
  <w:p w14:paraId="1B128E01" w14:textId="77777777" w:rsidR="00FD6F44" w:rsidRPr="00B75573" w:rsidRDefault="00FD6F44" w:rsidP="007A2BCF">
    <w:pPr>
      <w:pStyle w:val="Default"/>
      <w:jc w:val="center"/>
      <w:rPr>
        <w:b/>
        <w:sz w:val="22"/>
        <w:szCs w:val="22"/>
      </w:rPr>
    </w:pPr>
    <w:r w:rsidRPr="00B75573">
      <w:rPr>
        <w:b/>
        <w:sz w:val="22"/>
        <w:szCs w:val="22"/>
      </w:rPr>
      <w:t>Curriculum Matrix Example</w:t>
    </w:r>
  </w:p>
  <w:p w14:paraId="31DE8306" w14:textId="77777777" w:rsidR="00FD6F44" w:rsidRPr="00B75573" w:rsidRDefault="00FD6F44" w:rsidP="007A2BCF">
    <w:pPr>
      <w:pStyle w:val="Default"/>
      <w:jc w:val="center"/>
      <w:rPr>
        <w:b/>
        <w:sz w:val="22"/>
        <w:szCs w:val="22"/>
      </w:rPr>
    </w:pPr>
    <w:r w:rsidRPr="00B75573">
      <w:rPr>
        <w:b/>
        <w:sz w:val="22"/>
        <w:szCs w:val="22"/>
      </w:rPr>
      <w:t>Location of Curriculum Content Associated with Clinical Social Work Area of Specialized Practice</w:t>
    </w:r>
  </w:p>
  <w:p w14:paraId="40553BAC" w14:textId="77777777" w:rsidR="00FD6F44" w:rsidRPr="000F39DD" w:rsidRDefault="00FD6F44" w:rsidP="007A2BCF">
    <w:pPr>
      <w:pStyle w:val="Default"/>
      <w:jc w:val="center"/>
      <w:rPr>
        <w:b/>
        <w:sz w:val="20"/>
        <w:szCs w:val="20"/>
      </w:rPr>
    </w:pPr>
  </w:p>
  <w:p w14:paraId="20DEFBB2" w14:textId="77777777" w:rsidR="00FD6F44" w:rsidRDefault="00FD6F44" w:rsidP="007A2BCF">
    <w:pPr>
      <w:pStyle w:val="Default"/>
      <w:jc w:val="center"/>
      <w:rPr>
        <w:b/>
        <w:sz w:val="20"/>
        <w:szCs w:val="20"/>
      </w:rPr>
    </w:pPr>
  </w:p>
  <w:tbl>
    <w:tblPr>
      <w:tblStyle w:val="TableGrid"/>
      <w:tblW w:w="957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596"/>
      <w:gridCol w:w="2742"/>
      <w:gridCol w:w="1080"/>
      <w:gridCol w:w="1350"/>
      <w:gridCol w:w="1212"/>
      <w:gridCol w:w="1596"/>
    </w:tblGrid>
    <w:tr w:rsidR="00FD6F44" w14:paraId="046C1271" w14:textId="77777777" w:rsidTr="00E35756">
      <w:tc>
        <w:tcPr>
          <w:tcW w:w="1596" w:type="dxa"/>
          <w:tcBorders>
            <w:bottom w:val="single" w:sz="12" w:space="0" w:color="auto"/>
            <w:right w:val="single" w:sz="8" w:space="0" w:color="auto"/>
          </w:tcBorders>
          <w:vAlign w:val="center"/>
        </w:tcPr>
        <w:p w14:paraId="256A96B6" w14:textId="77777777" w:rsidR="00FD6F44" w:rsidRPr="007B3C4D" w:rsidRDefault="00FD6F44" w:rsidP="007A2BCF">
          <w:pPr>
            <w:pStyle w:val="NoSpacing"/>
            <w:jc w:val="center"/>
            <w:rPr>
              <w:rFonts w:ascii="Arial" w:hAnsi="Arial" w:cs="Arial"/>
              <w:b/>
              <w:sz w:val="20"/>
              <w:szCs w:val="20"/>
            </w:rPr>
          </w:pPr>
          <w:r>
            <w:rPr>
              <w:rFonts w:ascii="Arial" w:hAnsi="Arial" w:cs="Arial"/>
              <w:b/>
              <w:sz w:val="20"/>
              <w:szCs w:val="20"/>
            </w:rPr>
            <w:t>Competency</w:t>
          </w:r>
        </w:p>
      </w:tc>
      <w:tc>
        <w:tcPr>
          <w:tcW w:w="2742" w:type="dxa"/>
          <w:tcBorders>
            <w:left w:val="single" w:sz="8" w:space="0" w:color="auto"/>
            <w:bottom w:val="single" w:sz="12" w:space="0" w:color="auto"/>
            <w:right w:val="thinThickSmallGap" w:sz="24" w:space="0" w:color="auto"/>
          </w:tcBorders>
          <w:vAlign w:val="center"/>
        </w:tcPr>
        <w:p w14:paraId="05247CB1" w14:textId="77777777" w:rsidR="00FD6F44" w:rsidRPr="007B3C4D" w:rsidRDefault="00FD6F44" w:rsidP="007A2BCF">
          <w:pPr>
            <w:pStyle w:val="NoSpacing"/>
            <w:jc w:val="center"/>
            <w:rPr>
              <w:rFonts w:ascii="Arial" w:hAnsi="Arial" w:cs="Arial"/>
              <w:b/>
              <w:sz w:val="20"/>
              <w:szCs w:val="20"/>
            </w:rPr>
          </w:pPr>
          <w:r>
            <w:rPr>
              <w:rFonts w:ascii="Arial" w:hAnsi="Arial" w:cs="Arial"/>
              <w:b/>
              <w:sz w:val="20"/>
              <w:szCs w:val="20"/>
            </w:rPr>
            <w:t>Competency Description</w:t>
          </w:r>
        </w:p>
      </w:tc>
      <w:tc>
        <w:tcPr>
          <w:tcW w:w="1080" w:type="dxa"/>
          <w:tcBorders>
            <w:left w:val="thinThickSmallGap" w:sz="24" w:space="0" w:color="auto"/>
            <w:bottom w:val="single" w:sz="12" w:space="0" w:color="auto"/>
            <w:right w:val="single" w:sz="8" w:space="0" w:color="auto"/>
          </w:tcBorders>
          <w:vAlign w:val="center"/>
        </w:tcPr>
        <w:p w14:paraId="63D04B18" w14:textId="77777777" w:rsidR="00FD6F44" w:rsidRPr="007B3C4D" w:rsidRDefault="00FD6F44" w:rsidP="007A2BCF">
          <w:pPr>
            <w:pStyle w:val="NoSpacing"/>
            <w:jc w:val="center"/>
            <w:rPr>
              <w:rFonts w:ascii="Arial" w:hAnsi="Arial" w:cs="Arial"/>
              <w:b/>
              <w:sz w:val="20"/>
              <w:szCs w:val="20"/>
            </w:rPr>
          </w:pPr>
          <w:r>
            <w:rPr>
              <w:rFonts w:ascii="Arial" w:hAnsi="Arial" w:cs="Arial"/>
              <w:b/>
              <w:sz w:val="20"/>
              <w:szCs w:val="20"/>
            </w:rPr>
            <w:t>Courses</w:t>
          </w:r>
        </w:p>
      </w:tc>
      <w:tc>
        <w:tcPr>
          <w:tcW w:w="1350" w:type="dxa"/>
          <w:tcBorders>
            <w:left w:val="single" w:sz="8" w:space="0" w:color="auto"/>
            <w:bottom w:val="single" w:sz="12" w:space="0" w:color="auto"/>
            <w:right w:val="single" w:sz="8" w:space="0" w:color="auto"/>
          </w:tcBorders>
          <w:vAlign w:val="center"/>
        </w:tcPr>
        <w:p w14:paraId="48DDCBC8" w14:textId="77777777" w:rsidR="00FD6F44" w:rsidRPr="007B3C4D" w:rsidRDefault="00FD6F44" w:rsidP="007A2BCF">
          <w:pPr>
            <w:pStyle w:val="NoSpacing"/>
            <w:jc w:val="center"/>
            <w:rPr>
              <w:rFonts w:ascii="Arial" w:hAnsi="Arial" w:cs="Arial"/>
              <w:b/>
              <w:sz w:val="20"/>
              <w:szCs w:val="20"/>
            </w:rPr>
          </w:pPr>
          <w:r>
            <w:rPr>
              <w:rFonts w:ascii="Arial" w:hAnsi="Arial" w:cs="Arial"/>
              <w:b/>
              <w:sz w:val="20"/>
              <w:szCs w:val="20"/>
            </w:rPr>
            <w:t>Course Objectives (# in syllabus)</w:t>
          </w:r>
        </w:p>
      </w:tc>
      <w:tc>
        <w:tcPr>
          <w:tcW w:w="1212" w:type="dxa"/>
          <w:tcBorders>
            <w:left w:val="single" w:sz="8" w:space="0" w:color="auto"/>
            <w:bottom w:val="single" w:sz="12" w:space="0" w:color="auto"/>
            <w:right w:val="single" w:sz="8" w:space="0" w:color="auto"/>
          </w:tcBorders>
          <w:vAlign w:val="center"/>
        </w:tcPr>
        <w:p w14:paraId="7FDF9F5A" w14:textId="77777777" w:rsidR="00FD6F44" w:rsidRPr="007B3C4D" w:rsidRDefault="00FD6F44" w:rsidP="007A2BCF">
          <w:pPr>
            <w:pStyle w:val="NoSpacing"/>
            <w:jc w:val="center"/>
            <w:rPr>
              <w:rFonts w:ascii="Arial" w:hAnsi="Arial" w:cs="Arial"/>
              <w:b/>
              <w:sz w:val="20"/>
              <w:szCs w:val="20"/>
            </w:rPr>
          </w:pPr>
          <w:r>
            <w:rPr>
              <w:rFonts w:ascii="Arial" w:hAnsi="Arial" w:cs="Arial"/>
              <w:b/>
              <w:sz w:val="20"/>
              <w:szCs w:val="20"/>
            </w:rPr>
            <w:t>Course Units or week covered</w:t>
          </w:r>
        </w:p>
      </w:tc>
      <w:tc>
        <w:tcPr>
          <w:tcW w:w="1596" w:type="dxa"/>
          <w:tcBorders>
            <w:left w:val="single" w:sz="8" w:space="0" w:color="auto"/>
            <w:bottom w:val="single" w:sz="12" w:space="0" w:color="auto"/>
          </w:tcBorders>
          <w:vAlign w:val="center"/>
        </w:tcPr>
        <w:p w14:paraId="40F14EE2" w14:textId="77777777" w:rsidR="00FD6F44" w:rsidRPr="007B3C4D" w:rsidRDefault="00FD6F44" w:rsidP="007A2BCF">
          <w:pPr>
            <w:pStyle w:val="NoSpacing"/>
            <w:jc w:val="center"/>
            <w:rPr>
              <w:rFonts w:ascii="Arial" w:hAnsi="Arial" w:cs="Arial"/>
              <w:b/>
              <w:sz w:val="20"/>
              <w:szCs w:val="20"/>
            </w:rPr>
          </w:pPr>
          <w:r>
            <w:rPr>
              <w:rFonts w:ascii="Arial" w:hAnsi="Arial" w:cs="Arial"/>
              <w:b/>
              <w:sz w:val="20"/>
              <w:szCs w:val="20"/>
            </w:rPr>
            <w:t>Assignments</w:t>
          </w:r>
        </w:p>
      </w:tc>
    </w:tr>
    <w:tr w:rsidR="00FD6F44" w14:paraId="5868DBA6" w14:textId="77777777" w:rsidTr="00E35756">
      <w:tc>
        <w:tcPr>
          <w:tcW w:w="1596" w:type="dxa"/>
          <w:tcBorders>
            <w:top w:val="single" w:sz="12" w:space="0" w:color="auto"/>
            <w:bottom w:val="single" w:sz="12" w:space="0" w:color="auto"/>
            <w:right w:val="single" w:sz="8" w:space="0" w:color="auto"/>
          </w:tcBorders>
        </w:tcPr>
        <w:p w14:paraId="410C2077" w14:textId="77777777" w:rsidR="00FD6F44" w:rsidRDefault="00FD6F44" w:rsidP="007A2BCF">
          <w:pPr>
            <w:pStyle w:val="NoSpacing"/>
            <w:jc w:val="center"/>
            <w:rPr>
              <w:rFonts w:ascii="Arial" w:hAnsi="Arial" w:cs="Arial"/>
              <w:b/>
              <w:sz w:val="20"/>
              <w:szCs w:val="20"/>
            </w:rPr>
          </w:pPr>
          <w:r>
            <w:rPr>
              <w:rFonts w:ascii="Arial" w:hAnsi="Arial" w:cs="Arial"/>
              <w:b/>
              <w:sz w:val="20"/>
              <w:szCs w:val="20"/>
            </w:rPr>
            <w:t>1:  Demonstrate ethical and professional behavior</w:t>
          </w:r>
        </w:p>
        <w:p w14:paraId="09463D8A" w14:textId="77777777" w:rsidR="00FD6F44" w:rsidRDefault="00FD6F44" w:rsidP="007A2BCF">
          <w:pPr>
            <w:pStyle w:val="NoSpacing"/>
            <w:jc w:val="center"/>
            <w:rPr>
              <w:rFonts w:ascii="Arial" w:hAnsi="Arial" w:cs="Arial"/>
              <w:b/>
              <w:sz w:val="20"/>
              <w:szCs w:val="20"/>
            </w:rPr>
          </w:pPr>
        </w:p>
        <w:p w14:paraId="66B39579" w14:textId="77777777" w:rsidR="00FD6F44" w:rsidRDefault="00FD6F44" w:rsidP="007A2BCF">
          <w:pPr>
            <w:pStyle w:val="NoSpacing"/>
            <w:jc w:val="center"/>
            <w:rPr>
              <w:rFonts w:ascii="Arial" w:hAnsi="Arial" w:cs="Arial"/>
              <w:b/>
              <w:sz w:val="20"/>
              <w:szCs w:val="20"/>
            </w:rPr>
          </w:pPr>
        </w:p>
        <w:p w14:paraId="127A2198" w14:textId="77777777" w:rsidR="00FD6F44" w:rsidRDefault="00FD6F44" w:rsidP="007A2BCF">
          <w:pPr>
            <w:pStyle w:val="NoSpacing"/>
            <w:jc w:val="center"/>
            <w:rPr>
              <w:rFonts w:ascii="Arial" w:hAnsi="Arial" w:cs="Arial"/>
              <w:b/>
              <w:sz w:val="20"/>
              <w:szCs w:val="20"/>
            </w:rPr>
          </w:pPr>
        </w:p>
        <w:p w14:paraId="72678780" w14:textId="77777777" w:rsidR="00FD6F44" w:rsidRDefault="00FD6F44" w:rsidP="007A2BCF">
          <w:pPr>
            <w:pStyle w:val="NoSpacing"/>
            <w:jc w:val="center"/>
            <w:rPr>
              <w:rFonts w:ascii="Arial" w:hAnsi="Arial" w:cs="Arial"/>
              <w:b/>
              <w:sz w:val="20"/>
              <w:szCs w:val="20"/>
            </w:rPr>
          </w:pPr>
        </w:p>
        <w:p w14:paraId="08C63E0D" w14:textId="77777777" w:rsidR="00FD6F44" w:rsidRDefault="00FD6F44" w:rsidP="007A2BCF">
          <w:pPr>
            <w:pStyle w:val="NoSpacing"/>
            <w:jc w:val="center"/>
            <w:rPr>
              <w:rFonts w:ascii="Arial" w:hAnsi="Arial" w:cs="Arial"/>
              <w:b/>
              <w:sz w:val="20"/>
              <w:szCs w:val="20"/>
            </w:rPr>
          </w:pPr>
        </w:p>
        <w:p w14:paraId="384738A3" w14:textId="77777777" w:rsidR="00FD6F44" w:rsidRDefault="00FD6F44" w:rsidP="007A2BCF">
          <w:pPr>
            <w:pStyle w:val="NoSpacing"/>
            <w:jc w:val="center"/>
            <w:rPr>
              <w:rFonts w:ascii="Arial" w:hAnsi="Arial" w:cs="Arial"/>
              <w:b/>
              <w:sz w:val="20"/>
              <w:szCs w:val="20"/>
            </w:rPr>
          </w:pPr>
        </w:p>
        <w:p w14:paraId="1F549CBC" w14:textId="77777777" w:rsidR="00FD6F44" w:rsidRDefault="00FD6F44" w:rsidP="007A2BCF">
          <w:pPr>
            <w:pStyle w:val="NoSpacing"/>
            <w:jc w:val="center"/>
            <w:rPr>
              <w:rFonts w:ascii="Arial" w:hAnsi="Arial" w:cs="Arial"/>
              <w:b/>
              <w:sz w:val="20"/>
              <w:szCs w:val="20"/>
            </w:rPr>
          </w:pPr>
        </w:p>
        <w:p w14:paraId="0C0D91C5" w14:textId="77777777" w:rsidR="00FD6F44" w:rsidRDefault="00FD6F44" w:rsidP="007A2BCF">
          <w:pPr>
            <w:pStyle w:val="NoSpacing"/>
            <w:jc w:val="center"/>
            <w:rPr>
              <w:rFonts w:ascii="Arial" w:hAnsi="Arial" w:cs="Arial"/>
              <w:b/>
              <w:sz w:val="20"/>
              <w:szCs w:val="20"/>
            </w:rPr>
          </w:pPr>
        </w:p>
        <w:p w14:paraId="7F9DF240" w14:textId="77777777" w:rsidR="00FD6F44" w:rsidRDefault="00FD6F44" w:rsidP="007A2BCF">
          <w:pPr>
            <w:pStyle w:val="NoSpacing"/>
            <w:jc w:val="center"/>
            <w:rPr>
              <w:rFonts w:ascii="Arial" w:hAnsi="Arial" w:cs="Arial"/>
              <w:b/>
              <w:sz w:val="20"/>
              <w:szCs w:val="20"/>
            </w:rPr>
          </w:pPr>
        </w:p>
        <w:p w14:paraId="69639096" w14:textId="77777777" w:rsidR="00FD6F44" w:rsidRDefault="00FD6F44" w:rsidP="007A2BCF">
          <w:pPr>
            <w:pStyle w:val="NoSpacing"/>
            <w:jc w:val="center"/>
            <w:rPr>
              <w:rFonts w:ascii="Arial" w:hAnsi="Arial" w:cs="Arial"/>
              <w:b/>
              <w:sz w:val="20"/>
              <w:szCs w:val="20"/>
            </w:rPr>
          </w:pPr>
        </w:p>
        <w:p w14:paraId="2BAEB6C4" w14:textId="77777777" w:rsidR="00FD6F44" w:rsidRDefault="00FD6F44" w:rsidP="007A2BCF">
          <w:pPr>
            <w:pStyle w:val="NoSpacing"/>
            <w:jc w:val="center"/>
            <w:rPr>
              <w:rFonts w:ascii="Arial" w:hAnsi="Arial" w:cs="Arial"/>
              <w:b/>
              <w:sz w:val="20"/>
              <w:szCs w:val="20"/>
            </w:rPr>
          </w:pPr>
        </w:p>
        <w:p w14:paraId="68A642BC" w14:textId="77777777" w:rsidR="00FD6F44" w:rsidRDefault="00FD6F44" w:rsidP="007A2BCF">
          <w:pPr>
            <w:pStyle w:val="NoSpacing"/>
            <w:jc w:val="center"/>
            <w:rPr>
              <w:rFonts w:ascii="Arial" w:hAnsi="Arial" w:cs="Arial"/>
              <w:b/>
              <w:sz w:val="20"/>
              <w:szCs w:val="20"/>
            </w:rPr>
          </w:pPr>
        </w:p>
        <w:p w14:paraId="4D5B15B7" w14:textId="77777777" w:rsidR="00FD6F44" w:rsidRDefault="00FD6F44" w:rsidP="007A2BCF">
          <w:pPr>
            <w:pStyle w:val="NoSpacing"/>
            <w:jc w:val="center"/>
            <w:rPr>
              <w:rFonts w:ascii="Arial" w:hAnsi="Arial" w:cs="Arial"/>
              <w:b/>
              <w:sz w:val="20"/>
              <w:szCs w:val="20"/>
            </w:rPr>
          </w:pPr>
        </w:p>
        <w:p w14:paraId="3A5CEB24" w14:textId="77777777" w:rsidR="00FD6F44" w:rsidRDefault="00FD6F44" w:rsidP="007A2BCF">
          <w:pPr>
            <w:pStyle w:val="NoSpacing"/>
            <w:jc w:val="center"/>
            <w:rPr>
              <w:rFonts w:ascii="Arial" w:hAnsi="Arial" w:cs="Arial"/>
              <w:b/>
              <w:sz w:val="20"/>
              <w:szCs w:val="20"/>
            </w:rPr>
          </w:pPr>
        </w:p>
        <w:p w14:paraId="19B59FDE" w14:textId="77777777" w:rsidR="00FD6F44" w:rsidRDefault="00FD6F44" w:rsidP="007A2BCF">
          <w:pPr>
            <w:pStyle w:val="NoSpacing"/>
            <w:jc w:val="center"/>
            <w:rPr>
              <w:rFonts w:ascii="Arial" w:hAnsi="Arial" w:cs="Arial"/>
              <w:b/>
              <w:sz w:val="20"/>
              <w:szCs w:val="20"/>
            </w:rPr>
          </w:pPr>
        </w:p>
        <w:p w14:paraId="67C2CEAE" w14:textId="77777777" w:rsidR="00FD6F44" w:rsidRDefault="00FD6F44" w:rsidP="007A2BCF">
          <w:pPr>
            <w:pStyle w:val="NoSpacing"/>
            <w:jc w:val="center"/>
            <w:rPr>
              <w:rFonts w:ascii="Arial" w:hAnsi="Arial" w:cs="Arial"/>
              <w:b/>
              <w:sz w:val="20"/>
              <w:szCs w:val="20"/>
            </w:rPr>
          </w:pPr>
        </w:p>
        <w:p w14:paraId="377FCA8B" w14:textId="77777777" w:rsidR="00FD6F44" w:rsidRPr="009D4FE2" w:rsidRDefault="00FD6F44" w:rsidP="007A2BCF">
          <w:pPr>
            <w:pStyle w:val="NoSpacing"/>
            <w:rPr>
              <w:rFonts w:ascii="Arial" w:hAnsi="Arial" w:cs="Arial"/>
              <w:b/>
              <w:sz w:val="20"/>
              <w:szCs w:val="20"/>
            </w:rPr>
          </w:pPr>
        </w:p>
      </w:tc>
      <w:tc>
        <w:tcPr>
          <w:tcW w:w="2742" w:type="dxa"/>
          <w:tcBorders>
            <w:top w:val="single" w:sz="12" w:space="0" w:color="auto"/>
            <w:left w:val="single" w:sz="8" w:space="0" w:color="auto"/>
            <w:bottom w:val="single" w:sz="12" w:space="0" w:color="auto"/>
            <w:right w:val="thinThickSmallGap" w:sz="24" w:space="0" w:color="auto"/>
          </w:tcBorders>
        </w:tcPr>
        <w:p w14:paraId="3C8A0E76" w14:textId="77777777" w:rsidR="00FD6F44" w:rsidRPr="007D0710" w:rsidRDefault="00FD6F44" w:rsidP="007A2BCF">
          <w:pPr>
            <w:pStyle w:val="NoSpacing"/>
            <w:rPr>
              <w:rFonts w:ascii="Arial" w:hAnsi="Arial" w:cs="Arial"/>
              <w:sz w:val="20"/>
              <w:szCs w:val="20"/>
            </w:rPr>
          </w:pPr>
          <w:r w:rsidRPr="007D0710">
            <w:rPr>
              <w:rFonts w:ascii="Arial" w:hAnsi="Arial" w:cs="Arial"/>
              <w:sz w:val="20"/>
              <w:szCs w:val="20"/>
            </w:rPr>
            <w:t>Practitioners in clinical social work recognize the importance of the therapeutic relationship, the person-­</w:t>
          </w:r>
          <w:r w:rsidRPr="007D0710">
            <w:rPr>
              <w:rFonts w:ascii="Cambria Math" w:hAnsi="Cambria Math" w:cs="Cambria Math"/>
              <w:sz w:val="20"/>
              <w:szCs w:val="20"/>
            </w:rPr>
            <w:t>‐</w:t>
          </w:r>
          <w:r w:rsidRPr="007D0710">
            <w:rPr>
              <w:rFonts w:ascii="Arial" w:hAnsi="Arial" w:cs="Arial"/>
              <w:sz w:val="20"/>
              <w:szCs w:val="20"/>
            </w:rPr>
            <w:t xml:space="preserve">in-­environment and the strengths perspectives, the professional use of self with clients, and adherence to ethical guidelines of professional behavior. </w:t>
          </w:r>
        </w:p>
        <w:p w14:paraId="1759A826" w14:textId="77777777" w:rsidR="00FD6F44" w:rsidRPr="007D0710" w:rsidRDefault="00FD6F44" w:rsidP="007A2BCF">
          <w:pPr>
            <w:pStyle w:val="NoSpacing"/>
            <w:rPr>
              <w:rFonts w:ascii="Arial" w:hAnsi="Arial" w:cs="Arial"/>
              <w:sz w:val="20"/>
              <w:szCs w:val="20"/>
            </w:rPr>
          </w:pPr>
        </w:p>
        <w:p w14:paraId="65948721" w14:textId="77777777" w:rsidR="00FD6F44" w:rsidRPr="007D0710" w:rsidRDefault="00FD6F44" w:rsidP="007A2BCF">
          <w:pPr>
            <w:pStyle w:val="NoSpacing"/>
            <w:rPr>
              <w:rFonts w:ascii="Arial" w:hAnsi="Arial" w:cs="Arial"/>
              <w:sz w:val="16"/>
              <w:szCs w:val="16"/>
            </w:rPr>
          </w:pPr>
        </w:p>
      </w:tc>
      <w:tc>
        <w:tcPr>
          <w:tcW w:w="1080" w:type="dxa"/>
          <w:tcBorders>
            <w:top w:val="single" w:sz="12" w:space="0" w:color="auto"/>
            <w:left w:val="thinThickSmallGap" w:sz="24" w:space="0" w:color="auto"/>
            <w:bottom w:val="single" w:sz="12" w:space="0" w:color="auto"/>
            <w:right w:val="single" w:sz="8" w:space="0" w:color="auto"/>
          </w:tcBorders>
        </w:tcPr>
        <w:p w14:paraId="0E10E837" w14:textId="77777777" w:rsidR="00FD6F44" w:rsidRDefault="00FD6F44" w:rsidP="007A2BCF">
          <w:pPr>
            <w:pStyle w:val="NoSpacing"/>
            <w:rPr>
              <w:rFonts w:ascii="Arial" w:hAnsi="Arial" w:cs="Arial"/>
              <w:sz w:val="20"/>
              <w:szCs w:val="20"/>
            </w:rPr>
          </w:pPr>
        </w:p>
        <w:p w14:paraId="39A936AF" w14:textId="77777777" w:rsidR="00FD6F44" w:rsidRDefault="00FD6F44" w:rsidP="007A2BCF">
          <w:pPr>
            <w:pStyle w:val="NoSpacing"/>
            <w:rPr>
              <w:rFonts w:ascii="Arial" w:hAnsi="Arial" w:cs="Arial"/>
              <w:sz w:val="20"/>
              <w:szCs w:val="20"/>
            </w:rPr>
          </w:pPr>
          <w:r>
            <w:rPr>
              <w:rFonts w:ascii="Arial" w:hAnsi="Arial" w:cs="Arial"/>
              <w:sz w:val="20"/>
              <w:szCs w:val="20"/>
            </w:rPr>
            <w:t>603:  Methods of Clinical Social Work</w:t>
          </w:r>
        </w:p>
        <w:p w14:paraId="2BA3B3F6" w14:textId="77777777" w:rsidR="00FD6F44" w:rsidRDefault="00FD6F44" w:rsidP="007A2BCF">
          <w:pPr>
            <w:pStyle w:val="NoSpacing"/>
            <w:rPr>
              <w:rFonts w:ascii="Arial" w:hAnsi="Arial" w:cs="Arial"/>
              <w:sz w:val="20"/>
              <w:szCs w:val="20"/>
            </w:rPr>
          </w:pPr>
        </w:p>
        <w:p w14:paraId="423BBCC8" w14:textId="77777777" w:rsidR="00FD6F44" w:rsidRDefault="00FD6F44" w:rsidP="007A2BCF">
          <w:pPr>
            <w:pStyle w:val="NoSpacing"/>
            <w:rPr>
              <w:rFonts w:ascii="Arial" w:hAnsi="Arial" w:cs="Arial"/>
              <w:sz w:val="20"/>
              <w:szCs w:val="20"/>
            </w:rPr>
          </w:pPr>
        </w:p>
        <w:p w14:paraId="08C62B63" w14:textId="77777777" w:rsidR="00FD6F44" w:rsidRDefault="00FD6F44" w:rsidP="007A2BCF">
          <w:pPr>
            <w:pStyle w:val="NoSpacing"/>
            <w:rPr>
              <w:rFonts w:ascii="Arial" w:hAnsi="Arial" w:cs="Arial"/>
              <w:sz w:val="20"/>
              <w:szCs w:val="20"/>
            </w:rPr>
          </w:pPr>
        </w:p>
        <w:p w14:paraId="357B2991" w14:textId="77777777" w:rsidR="00FD6F44" w:rsidRDefault="00FD6F44" w:rsidP="007A2BCF">
          <w:pPr>
            <w:pStyle w:val="NoSpacing"/>
            <w:rPr>
              <w:rFonts w:ascii="Arial" w:hAnsi="Arial" w:cs="Arial"/>
              <w:sz w:val="20"/>
              <w:szCs w:val="20"/>
            </w:rPr>
          </w:pPr>
        </w:p>
        <w:p w14:paraId="50F666C8" w14:textId="77777777" w:rsidR="00FD6F44" w:rsidRDefault="00FD6F44" w:rsidP="007A2BCF">
          <w:pPr>
            <w:pStyle w:val="NoSpacing"/>
            <w:rPr>
              <w:rFonts w:ascii="Arial" w:hAnsi="Arial" w:cs="Arial"/>
              <w:sz w:val="20"/>
              <w:szCs w:val="20"/>
            </w:rPr>
          </w:pPr>
        </w:p>
        <w:p w14:paraId="17D1EEF6" w14:textId="77777777" w:rsidR="00FD6F44" w:rsidRDefault="00FD6F44" w:rsidP="007A2BCF">
          <w:pPr>
            <w:pStyle w:val="NoSpacing"/>
            <w:rPr>
              <w:rFonts w:ascii="Arial" w:hAnsi="Arial" w:cs="Arial"/>
              <w:sz w:val="20"/>
              <w:szCs w:val="20"/>
            </w:rPr>
          </w:pPr>
        </w:p>
        <w:p w14:paraId="6BC900D9" w14:textId="77777777" w:rsidR="00FD6F44" w:rsidRDefault="00FD6F44" w:rsidP="007A2BCF">
          <w:pPr>
            <w:pStyle w:val="NoSpacing"/>
            <w:rPr>
              <w:rFonts w:ascii="Arial" w:hAnsi="Arial" w:cs="Arial"/>
              <w:sz w:val="20"/>
              <w:szCs w:val="20"/>
            </w:rPr>
          </w:pPr>
        </w:p>
        <w:p w14:paraId="1932687D" w14:textId="77777777" w:rsidR="00FD6F44" w:rsidRPr="009D4FE2" w:rsidRDefault="00FD6F44" w:rsidP="007A2BCF">
          <w:pPr>
            <w:pStyle w:val="NoSpacing"/>
            <w:rPr>
              <w:rFonts w:ascii="Arial" w:hAnsi="Arial" w:cs="Arial"/>
              <w:sz w:val="20"/>
              <w:szCs w:val="20"/>
            </w:rPr>
          </w:pPr>
        </w:p>
      </w:tc>
      <w:tc>
        <w:tcPr>
          <w:tcW w:w="1350" w:type="dxa"/>
          <w:tcBorders>
            <w:top w:val="single" w:sz="12" w:space="0" w:color="auto"/>
            <w:left w:val="single" w:sz="8" w:space="0" w:color="auto"/>
            <w:bottom w:val="single" w:sz="12" w:space="0" w:color="auto"/>
            <w:right w:val="single" w:sz="8" w:space="0" w:color="auto"/>
          </w:tcBorders>
        </w:tcPr>
        <w:p w14:paraId="3DDF4D5D" w14:textId="77777777" w:rsidR="00FD6F44" w:rsidRDefault="00FD6F44" w:rsidP="007A2BCF">
          <w:pPr>
            <w:pStyle w:val="NoSpacing"/>
            <w:rPr>
              <w:rFonts w:ascii="Arial" w:hAnsi="Arial" w:cs="Arial"/>
              <w:sz w:val="20"/>
              <w:szCs w:val="20"/>
            </w:rPr>
          </w:pPr>
        </w:p>
        <w:p w14:paraId="3AA7CD57" w14:textId="77777777" w:rsidR="00FD6F44" w:rsidRDefault="00FD6F44" w:rsidP="007A2BCF">
          <w:pPr>
            <w:pStyle w:val="NoSpacing"/>
            <w:rPr>
              <w:rFonts w:ascii="Arial" w:hAnsi="Arial" w:cs="Arial"/>
              <w:sz w:val="20"/>
              <w:szCs w:val="20"/>
            </w:rPr>
          </w:pPr>
        </w:p>
        <w:p w14:paraId="527D534D" w14:textId="77777777" w:rsidR="00FD6F44" w:rsidRDefault="00FD6F44" w:rsidP="007A2BCF">
          <w:pPr>
            <w:pStyle w:val="NoSpacing"/>
            <w:rPr>
              <w:rFonts w:ascii="Arial" w:hAnsi="Arial" w:cs="Arial"/>
              <w:sz w:val="20"/>
              <w:szCs w:val="20"/>
            </w:rPr>
          </w:pPr>
        </w:p>
        <w:p w14:paraId="2CF1A2DD" w14:textId="77777777" w:rsidR="00FD6F44" w:rsidRDefault="00FD6F44" w:rsidP="007A2BCF">
          <w:pPr>
            <w:pStyle w:val="NoSpacing"/>
            <w:rPr>
              <w:rFonts w:ascii="Arial" w:hAnsi="Arial" w:cs="Arial"/>
              <w:sz w:val="20"/>
              <w:szCs w:val="20"/>
            </w:rPr>
          </w:pPr>
          <w:r>
            <w:rPr>
              <w:rFonts w:ascii="Arial" w:hAnsi="Arial" w:cs="Arial"/>
              <w:sz w:val="20"/>
              <w:szCs w:val="20"/>
            </w:rPr>
            <w:t>1,2,4</w:t>
          </w:r>
        </w:p>
        <w:p w14:paraId="4D01D5B8" w14:textId="77777777" w:rsidR="00FD6F44" w:rsidRDefault="00FD6F44" w:rsidP="007A2BCF">
          <w:pPr>
            <w:pStyle w:val="NoSpacing"/>
            <w:rPr>
              <w:rFonts w:ascii="Arial" w:hAnsi="Arial" w:cs="Arial"/>
              <w:sz w:val="20"/>
              <w:szCs w:val="20"/>
            </w:rPr>
          </w:pPr>
        </w:p>
        <w:p w14:paraId="5A70E117" w14:textId="77777777" w:rsidR="00FD6F44" w:rsidRDefault="00FD6F44" w:rsidP="007A2BCF">
          <w:pPr>
            <w:pStyle w:val="NoSpacing"/>
            <w:rPr>
              <w:rFonts w:ascii="Arial" w:hAnsi="Arial" w:cs="Arial"/>
              <w:sz w:val="20"/>
              <w:szCs w:val="20"/>
            </w:rPr>
          </w:pPr>
        </w:p>
        <w:p w14:paraId="377802C0" w14:textId="77777777" w:rsidR="00FD6F44" w:rsidRDefault="00FD6F44" w:rsidP="007A2BCF">
          <w:pPr>
            <w:pStyle w:val="NoSpacing"/>
            <w:rPr>
              <w:rFonts w:ascii="Arial" w:hAnsi="Arial" w:cs="Arial"/>
              <w:sz w:val="20"/>
              <w:szCs w:val="20"/>
            </w:rPr>
          </w:pPr>
        </w:p>
        <w:p w14:paraId="120E5FF6" w14:textId="77777777" w:rsidR="00FD6F44" w:rsidRDefault="00FD6F44" w:rsidP="007A2BCF">
          <w:pPr>
            <w:pStyle w:val="NoSpacing"/>
            <w:rPr>
              <w:rFonts w:ascii="Arial" w:hAnsi="Arial" w:cs="Arial"/>
              <w:sz w:val="20"/>
              <w:szCs w:val="20"/>
            </w:rPr>
          </w:pPr>
        </w:p>
        <w:p w14:paraId="4C841C89" w14:textId="77777777" w:rsidR="00FD6F44" w:rsidRDefault="00FD6F44" w:rsidP="007A2BCF">
          <w:pPr>
            <w:pStyle w:val="NoSpacing"/>
            <w:rPr>
              <w:rFonts w:ascii="Arial" w:hAnsi="Arial" w:cs="Arial"/>
              <w:sz w:val="20"/>
              <w:szCs w:val="20"/>
            </w:rPr>
          </w:pPr>
        </w:p>
        <w:p w14:paraId="03478825" w14:textId="77777777" w:rsidR="00FD6F44" w:rsidRPr="009D4FE2" w:rsidRDefault="00FD6F44" w:rsidP="007A2BCF">
          <w:pPr>
            <w:pStyle w:val="NoSpacing"/>
            <w:rPr>
              <w:rFonts w:ascii="Arial" w:hAnsi="Arial" w:cs="Arial"/>
              <w:sz w:val="20"/>
              <w:szCs w:val="20"/>
            </w:rPr>
          </w:pPr>
        </w:p>
      </w:tc>
      <w:tc>
        <w:tcPr>
          <w:tcW w:w="1212" w:type="dxa"/>
          <w:tcBorders>
            <w:top w:val="single" w:sz="12" w:space="0" w:color="auto"/>
            <w:left w:val="single" w:sz="8" w:space="0" w:color="auto"/>
            <w:bottom w:val="single" w:sz="12" w:space="0" w:color="auto"/>
            <w:right w:val="single" w:sz="8" w:space="0" w:color="auto"/>
          </w:tcBorders>
        </w:tcPr>
        <w:p w14:paraId="6A3E94C8" w14:textId="77777777" w:rsidR="00FD6F44" w:rsidRDefault="00FD6F44" w:rsidP="007A2BCF">
          <w:pPr>
            <w:pStyle w:val="NoSpacing"/>
            <w:rPr>
              <w:rFonts w:ascii="Arial" w:hAnsi="Arial" w:cs="Arial"/>
              <w:sz w:val="20"/>
              <w:szCs w:val="20"/>
            </w:rPr>
          </w:pPr>
        </w:p>
        <w:p w14:paraId="7DDEB657" w14:textId="77777777" w:rsidR="00FD6F44" w:rsidRDefault="00FD6F44" w:rsidP="007A2BCF">
          <w:pPr>
            <w:pStyle w:val="NoSpacing"/>
            <w:rPr>
              <w:rFonts w:ascii="Arial" w:hAnsi="Arial" w:cs="Arial"/>
              <w:sz w:val="20"/>
              <w:szCs w:val="20"/>
            </w:rPr>
          </w:pPr>
        </w:p>
        <w:p w14:paraId="640617D9" w14:textId="77777777" w:rsidR="00FD6F44" w:rsidRDefault="00FD6F44" w:rsidP="007A2BCF">
          <w:pPr>
            <w:pStyle w:val="NoSpacing"/>
            <w:rPr>
              <w:rFonts w:ascii="Arial" w:hAnsi="Arial" w:cs="Arial"/>
              <w:sz w:val="20"/>
              <w:szCs w:val="20"/>
            </w:rPr>
          </w:pPr>
        </w:p>
        <w:p w14:paraId="58CDBD91" w14:textId="77777777" w:rsidR="00FD6F44" w:rsidRDefault="00FD6F44" w:rsidP="007A2BCF">
          <w:pPr>
            <w:pStyle w:val="NoSpacing"/>
            <w:rPr>
              <w:rFonts w:ascii="Arial" w:hAnsi="Arial" w:cs="Arial"/>
              <w:sz w:val="20"/>
              <w:szCs w:val="20"/>
            </w:rPr>
          </w:pPr>
          <w:r>
            <w:rPr>
              <w:rFonts w:ascii="Arial" w:hAnsi="Arial" w:cs="Arial"/>
              <w:sz w:val="20"/>
              <w:szCs w:val="20"/>
            </w:rPr>
            <w:t>1,3</w:t>
          </w:r>
        </w:p>
        <w:p w14:paraId="67EE466E" w14:textId="77777777" w:rsidR="00FD6F44" w:rsidRDefault="00FD6F44" w:rsidP="007A2BCF">
          <w:pPr>
            <w:pStyle w:val="NoSpacing"/>
            <w:rPr>
              <w:rFonts w:ascii="Arial" w:hAnsi="Arial" w:cs="Arial"/>
              <w:sz w:val="20"/>
              <w:szCs w:val="20"/>
            </w:rPr>
          </w:pPr>
        </w:p>
        <w:p w14:paraId="3B10D33C" w14:textId="77777777" w:rsidR="00FD6F44" w:rsidRDefault="00FD6F44" w:rsidP="007A2BCF">
          <w:pPr>
            <w:pStyle w:val="NoSpacing"/>
            <w:rPr>
              <w:rFonts w:ascii="Arial" w:hAnsi="Arial" w:cs="Arial"/>
              <w:sz w:val="20"/>
              <w:szCs w:val="20"/>
            </w:rPr>
          </w:pPr>
        </w:p>
        <w:p w14:paraId="0F848682" w14:textId="77777777" w:rsidR="00FD6F44" w:rsidRDefault="00FD6F44" w:rsidP="007A2BCF">
          <w:pPr>
            <w:pStyle w:val="NoSpacing"/>
            <w:rPr>
              <w:rFonts w:ascii="Arial" w:hAnsi="Arial" w:cs="Arial"/>
              <w:sz w:val="20"/>
              <w:szCs w:val="20"/>
            </w:rPr>
          </w:pPr>
        </w:p>
        <w:p w14:paraId="6A28D74E" w14:textId="77777777" w:rsidR="00FD6F44" w:rsidRDefault="00FD6F44" w:rsidP="007A2BCF">
          <w:pPr>
            <w:pStyle w:val="NoSpacing"/>
            <w:rPr>
              <w:rFonts w:ascii="Arial" w:hAnsi="Arial" w:cs="Arial"/>
              <w:sz w:val="20"/>
              <w:szCs w:val="20"/>
            </w:rPr>
          </w:pPr>
        </w:p>
        <w:p w14:paraId="3BD8C060" w14:textId="77777777" w:rsidR="00FD6F44" w:rsidRDefault="00FD6F44" w:rsidP="007A2BCF">
          <w:pPr>
            <w:pStyle w:val="NoSpacing"/>
            <w:rPr>
              <w:rFonts w:ascii="Arial" w:hAnsi="Arial" w:cs="Arial"/>
              <w:sz w:val="20"/>
              <w:szCs w:val="20"/>
            </w:rPr>
          </w:pPr>
        </w:p>
        <w:p w14:paraId="0558F214" w14:textId="77777777" w:rsidR="00FD6F44" w:rsidRPr="009D4FE2" w:rsidRDefault="00FD6F44" w:rsidP="007A2BCF">
          <w:pPr>
            <w:pStyle w:val="NoSpacing"/>
            <w:rPr>
              <w:rFonts w:ascii="Arial" w:hAnsi="Arial" w:cs="Arial"/>
              <w:sz w:val="20"/>
              <w:szCs w:val="20"/>
            </w:rPr>
          </w:pPr>
        </w:p>
      </w:tc>
      <w:tc>
        <w:tcPr>
          <w:tcW w:w="1596" w:type="dxa"/>
          <w:tcBorders>
            <w:top w:val="single" w:sz="12" w:space="0" w:color="auto"/>
            <w:left w:val="single" w:sz="8" w:space="0" w:color="auto"/>
            <w:bottom w:val="single" w:sz="12" w:space="0" w:color="auto"/>
          </w:tcBorders>
        </w:tcPr>
        <w:p w14:paraId="404B9C84" w14:textId="77777777" w:rsidR="00FD6F44" w:rsidRDefault="00FD6F44" w:rsidP="007A2BCF">
          <w:pPr>
            <w:pStyle w:val="NoSpacing"/>
            <w:rPr>
              <w:rFonts w:ascii="Arial" w:hAnsi="Arial" w:cs="Arial"/>
              <w:sz w:val="20"/>
              <w:szCs w:val="20"/>
            </w:rPr>
          </w:pPr>
          <w:r w:rsidRPr="003C6020">
            <w:rPr>
              <w:rFonts w:ascii="Arial" w:hAnsi="Arial" w:cs="Arial"/>
              <w:sz w:val="20"/>
              <w:szCs w:val="20"/>
            </w:rPr>
            <w:t xml:space="preserve">Students read about and discuss ethical decision-making (e.g. </w:t>
          </w:r>
          <w:proofErr w:type="spellStart"/>
          <w:r w:rsidRPr="003C6020">
            <w:rPr>
              <w:rFonts w:ascii="Arial" w:hAnsi="Arial" w:cs="Arial"/>
              <w:sz w:val="20"/>
              <w:szCs w:val="20"/>
            </w:rPr>
            <w:t>Luepker</w:t>
          </w:r>
          <w:proofErr w:type="spellEnd"/>
          <w:r w:rsidRPr="003C6020">
            <w:rPr>
              <w:rFonts w:ascii="Arial" w:hAnsi="Arial" w:cs="Arial"/>
              <w:sz w:val="20"/>
              <w:szCs w:val="20"/>
            </w:rPr>
            <w:t>; Cooper &amp; Lesser).</w:t>
          </w:r>
          <w:r>
            <w:rPr>
              <w:rFonts w:ascii="Arial" w:hAnsi="Arial" w:cs="Arial"/>
              <w:sz w:val="20"/>
              <w:szCs w:val="20"/>
            </w:rPr>
            <w:t xml:space="preserve">  (Knowledge and Values)</w:t>
          </w:r>
        </w:p>
        <w:p w14:paraId="2FC05716" w14:textId="77777777" w:rsidR="00FD6F44" w:rsidRDefault="00FD6F44" w:rsidP="007A2BCF">
          <w:pPr>
            <w:pStyle w:val="NoSpacing"/>
            <w:rPr>
              <w:rFonts w:ascii="Arial" w:hAnsi="Arial" w:cs="Arial"/>
              <w:sz w:val="20"/>
              <w:szCs w:val="20"/>
            </w:rPr>
          </w:pPr>
        </w:p>
        <w:p w14:paraId="00D9A663" w14:textId="77777777" w:rsidR="00FD6F44" w:rsidRDefault="00FD6F44" w:rsidP="007A2BCF">
          <w:pPr>
            <w:pStyle w:val="NoSpacing"/>
            <w:rPr>
              <w:rFonts w:ascii="Arial" w:hAnsi="Arial" w:cs="Arial"/>
              <w:sz w:val="20"/>
              <w:szCs w:val="20"/>
            </w:rPr>
          </w:pPr>
        </w:p>
        <w:p w14:paraId="38D0CAB4" w14:textId="77777777" w:rsidR="00FD6F44" w:rsidRDefault="00FD6F44" w:rsidP="007A2BCF">
          <w:pPr>
            <w:pStyle w:val="NoSpacing"/>
            <w:rPr>
              <w:rFonts w:ascii="Arial" w:hAnsi="Arial" w:cs="Arial"/>
              <w:sz w:val="20"/>
              <w:szCs w:val="20"/>
            </w:rPr>
          </w:pPr>
          <w:r w:rsidRPr="003C6020">
            <w:rPr>
              <w:rFonts w:ascii="Arial" w:hAnsi="Arial" w:cs="Arial"/>
              <w:sz w:val="20"/>
              <w:szCs w:val="20"/>
            </w:rPr>
            <w:t>Assessment and Treatment Planning assignment requires students to address ethical concerns</w:t>
          </w:r>
          <w:r>
            <w:rPr>
              <w:rFonts w:ascii="Arial" w:hAnsi="Arial" w:cs="Arial"/>
              <w:sz w:val="20"/>
              <w:szCs w:val="20"/>
            </w:rPr>
            <w:t xml:space="preserve"> (Skills)</w:t>
          </w:r>
        </w:p>
        <w:p w14:paraId="3CFD31B6" w14:textId="77777777" w:rsidR="00FD6F44" w:rsidRPr="009D4FE2" w:rsidRDefault="00FD6F44" w:rsidP="007A2BCF">
          <w:pPr>
            <w:pStyle w:val="NoSpacing"/>
            <w:rPr>
              <w:rFonts w:ascii="Arial" w:hAnsi="Arial" w:cs="Arial"/>
              <w:sz w:val="20"/>
              <w:szCs w:val="20"/>
            </w:rPr>
          </w:pPr>
        </w:p>
      </w:tc>
    </w:tr>
    <w:tr w:rsidR="00FD6F44" w14:paraId="783B199E" w14:textId="77777777" w:rsidTr="00E35756">
      <w:tc>
        <w:tcPr>
          <w:tcW w:w="1596" w:type="dxa"/>
          <w:tcBorders>
            <w:top w:val="single" w:sz="12" w:space="0" w:color="auto"/>
            <w:right w:val="single" w:sz="8" w:space="0" w:color="auto"/>
          </w:tcBorders>
        </w:tcPr>
        <w:p w14:paraId="49BF428D" w14:textId="77777777" w:rsidR="00FD6F44" w:rsidRDefault="00FD6F44" w:rsidP="007A2BCF">
          <w:pPr>
            <w:pStyle w:val="NoSpacing"/>
            <w:jc w:val="center"/>
            <w:rPr>
              <w:rFonts w:ascii="Arial" w:hAnsi="Arial" w:cs="Arial"/>
              <w:b/>
              <w:sz w:val="20"/>
              <w:szCs w:val="20"/>
            </w:rPr>
          </w:pPr>
          <w:r>
            <w:rPr>
              <w:rFonts w:ascii="Arial" w:hAnsi="Arial" w:cs="Arial"/>
              <w:b/>
              <w:sz w:val="20"/>
              <w:szCs w:val="20"/>
            </w:rPr>
            <w:t>2:  Engage diversity and difference in practice</w:t>
          </w:r>
        </w:p>
      </w:tc>
      <w:tc>
        <w:tcPr>
          <w:tcW w:w="2742" w:type="dxa"/>
          <w:tcBorders>
            <w:top w:val="single" w:sz="12" w:space="0" w:color="auto"/>
            <w:left w:val="single" w:sz="8" w:space="0" w:color="auto"/>
            <w:bottom w:val="single" w:sz="12" w:space="0" w:color="auto"/>
            <w:right w:val="thinThickSmallGap" w:sz="24" w:space="0" w:color="auto"/>
          </w:tcBorders>
        </w:tcPr>
        <w:p w14:paraId="4968ED7E" w14:textId="77777777" w:rsidR="00FD6F44" w:rsidRPr="00207F23" w:rsidRDefault="00FD6F44" w:rsidP="007A2BCF">
          <w:pPr>
            <w:pStyle w:val="NoSpacing"/>
            <w:rPr>
              <w:rFonts w:ascii="Arial" w:hAnsi="Arial" w:cs="Arial"/>
              <w:sz w:val="20"/>
              <w:szCs w:val="20"/>
            </w:rPr>
          </w:pPr>
          <w:r>
            <w:rPr>
              <w:rFonts w:ascii="Arial" w:hAnsi="Arial" w:cs="Arial"/>
              <w:sz w:val="20"/>
              <w:szCs w:val="20"/>
            </w:rPr>
            <w:t>P</w:t>
          </w:r>
          <w:r w:rsidRPr="00207F23">
            <w:rPr>
              <w:rFonts w:ascii="Arial" w:hAnsi="Arial" w:cs="Arial"/>
              <w:sz w:val="20"/>
              <w:szCs w:val="20"/>
            </w:rPr>
            <w:t xml:space="preserve">ractitioners </w:t>
          </w:r>
          <w:r>
            <w:rPr>
              <w:rFonts w:ascii="Arial" w:hAnsi="Arial" w:cs="Arial"/>
              <w:sz w:val="20"/>
              <w:szCs w:val="20"/>
            </w:rPr>
            <w:t xml:space="preserve">in clinical social work </w:t>
          </w:r>
          <w:r w:rsidRPr="00207F23">
            <w:rPr>
              <w:rFonts w:ascii="Arial" w:hAnsi="Arial" w:cs="Arial"/>
              <w:sz w:val="20"/>
              <w:szCs w:val="20"/>
            </w:rPr>
            <w:t xml:space="preserve">are knowledgeable about many forms of diversity and difference and how </w:t>
          </w:r>
          <w:proofErr w:type="gramStart"/>
          <w:r w:rsidRPr="00207F23">
            <w:rPr>
              <w:rFonts w:ascii="Arial" w:hAnsi="Arial" w:cs="Arial"/>
              <w:sz w:val="20"/>
              <w:szCs w:val="20"/>
            </w:rPr>
            <w:t>these influence</w:t>
          </w:r>
          <w:proofErr w:type="gramEnd"/>
          <w:r w:rsidRPr="00207F23">
            <w:rPr>
              <w:rFonts w:ascii="Arial" w:hAnsi="Arial" w:cs="Arial"/>
              <w:sz w:val="20"/>
              <w:szCs w:val="20"/>
            </w:rPr>
            <w:t xml:space="preserve"> the</w:t>
          </w:r>
        </w:p>
        <w:p w14:paraId="596BE58C" w14:textId="77777777" w:rsidR="00FD6F44" w:rsidRPr="00207F23" w:rsidRDefault="00FD6F44" w:rsidP="007A2BCF">
          <w:pPr>
            <w:pStyle w:val="NoSpacing"/>
            <w:rPr>
              <w:rFonts w:ascii="Arial" w:hAnsi="Arial" w:cs="Arial"/>
              <w:sz w:val="20"/>
              <w:szCs w:val="20"/>
            </w:rPr>
          </w:pPr>
          <w:r w:rsidRPr="00207F23">
            <w:rPr>
              <w:rFonts w:ascii="Arial" w:hAnsi="Arial" w:cs="Arial"/>
              <w:sz w:val="20"/>
              <w:szCs w:val="20"/>
            </w:rPr>
            <w:t>which various dimensions of diversity affect (a) explanations of illness, (b) help-­</w:t>
          </w:r>
          <w:r w:rsidRPr="00207F23">
            <w:rPr>
              <w:rFonts w:ascii="Cambria Math" w:hAnsi="Cambria Math" w:cs="Cambria Math"/>
              <w:sz w:val="20"/>
              <w:szCs w:val="20"/>
            </w:rPr>
            <w:t>‐</w:t>
          </w:r>
          <w:r w:rsidRPr="00207F23">
            <w:rPr>
              <w:rFonts w:ascii="Arial" w:hAnsi="Arial" w:cs="Arial"/>
              <w:sz w:val="20"/>
              <w:szCs w:val="20"/>
            </w:rPr>
            <w:t>seeking behaviors, and (c) healing</w:t>
          </w:r>
        </w:p>
        <w:p w14:paraId="1B51FF7B" w14:textId="77777777" w:rsidR="00FD6F44" w:rsidRPr="00207F23" w:rsidRDefault="00FD6F44" w:rsidP="007A2BCF">
          <w:pPr>
            <w:pStyle w:val="NoSpacing"/>
            <w:rPr>
              <w:rFonts w:ascii="Arial" w:hAnsi="Arial" w:cs="Arial"/>
              <w:sz w:val="20"/>
              <w:szCs w:val="20"/>
            </w:rPr>
          </w:pPr>
          <w:r w:rsidRPr="00207F23">
            <w:rPr>
              <w:rFonts w:ascii="Arial" w:hAnsi="Arial" w:cs="Arial"/>
              <w:sz w:val="20"/>
              <w:szCs w:val="20"/>
            </w:rPr>
            <w:t>practices</w:t>
          </w:r>
          <w:r>
            <w:rPr>
              <w:rFonts w:ascii="Arial" w:hAnsi="Arial" w:cs="Arial"/>
              <w:sz w:val="20"/>
              <w:szCs w:val="20"/>
            </w:rPr>
            <w:t>.  P</w:t>
          </w:r>
          <w:r w:rsidRPr="00207F23">
            <w:rPr>
              <w:rFonts w:ascii="Arial" w:hAnsi="Arial" w:cs="Arial"/>
              <w:sz w:val="20"/>
              <w:szCs w:val="20"/>
            </w:rPr>
            <w:t xml:space="preserve">ractitioners </w:t>
          </w:r>
          <w:r>
            <w:rPr>
              <w:rFonts w:ascii="Arial" w:hAnsi="Arial" w:cs="Arial"/>
              <w:sz w:val="20"/>
              <w:szCs w:val="20"/>
            </w:rPr>
            <w:t xml:space="preserve">in clinical social work </w:t>
          </w:r>
          <w:r w:rsidRPr="00207F23">
            <w:rPr>
              <w:rFonts w:ascii="Arial" w:hAnsi="Arial" w:cs="Arial"/>
              <w:sz w:val="20"/>
              <w:szCs w:val="20"/>
            </w:rPr>
            <w:t>are cultural beings and understand how clinical practice choices can</w:t>
          </w:r>
        </w:p>
        <w:p w14:paraId="33C2E06F" w14:textId="77777777" w:rsidR="00FD6F44" w:rsidRPr="007D0710" w:rsidRDefault="00FD6F44" w:rsidP="007A2BCF">
          <w:pPr>
            <w:pStyle w:val="NoSpacing"/>
            <w:rPr>
              <w:rFonts w:ascii="Arial" w:hAnsi="Arial" w:cs="Arial"/>
              <w:sz w:val="20"/>
              <w:szCs w:val="20"/>
            </w:rPr>
          </w:pPr>
          <w:r w:rsidRPr="00207F23">
            <w:rPr>
              <w:rFonts w:ascii="Arial" w:hAnsi="Arial" w:cs="Arial"/>
              <w:sz w:val="20"/>
              <w:szCs w:val="20"/>
            </w:rPr>
            <w:t>be culture-­</w:t>
          </w:r>
          <w:r w:rsidRPr="00207F23">
            <w:rPr>
              <w:rFonts w:ascii="Cambria Math" w:hAnsi="Cambria Math" w:cs="Cambria Math"/>
              <w:sz w:val="20"/>
              <w:szCs w:val="20"/>
            </w:rPr>
            <w:t>‐</w:t>
          </w:r>
          <w:r w:rsidRPr="00207F23">
            <w:rPr>
              <w:rFonts w:ascii="Arial" w:hAnsi="Arial" w:cs="Arial"/>
              <w:sz w:val="20"/>
              <w:szCs w:val="20"/>
            </w:rPr>
            <w:t>bound. Advanced practitioners in clinical social work</w:t>
          </w:r>
        </w:p>
      </w:tc>
      <w:tc>
        <w:tcPr>
          <w:tcW w:w="1080" w:type="dxa"/>
          <w:tcBorders>
            <w:top w:val="single" w:sz="12" w:space="0" w:color="auto"/>
            <w:left w:val="thinThickSmallGap" w:sz="24" w:space="0" w:color="auto"/>
            <w:bottom w:val="single" w:sz="12" w:space="0" w:color="auto"/>
            <w:right w:val="single" w:sz="8" w:space="0" w:color="auto"/>
          </w:tcBorders>
        </w:tcPr>
        <w:p w14:paraId="5628D87E" w14:textId="77777777" w:rsidR="00FD6F44" w:rsidRPr="00360FC2" w:rsidRDefault="00FD6F44" w:rsidP="007A2BCF">
          <w:pPr>
            <w:pStyle w:val="NoSpacing"/>
            <w:rPr>
              <w:rFonts w:ascii="Arial" w:hAnsi="Arial" w:cs="Arial"/>
              <w:sz w:val="20"/>
              <w:szCs w:val="20"/>
            </w:rPr>
          </w:pPr>
          <w:r w:rsidRPr="00360FC2">
            <w:rPr>
              <w:rFonts w:ascii="Arial" w:hAnsi="Arial" w:cs="Arial"/>
              <w:sz w:val="20"/>
              <w:szCs w:val="20"/>
            </w:rPr>
            <w:t>603 and 604: Methods of Clinical Social Work</w:t>
          </w:r>
        </w:p>
        <w:p w14:paraId="78062F43" w14:textId="77777777" w:rsidR="00FD6F44" w:rsidRDefault="00FD6F44" w:rsidP="007A2BCF">
          <w:pPr>
            <w:pStyle w:val="NoSpacing"/>
            <w:rPr>
              <w:rFonts w:ascii="Arial" w:hAnsi="Arial" w:cs="Arial"/>
              <w:sz w:val="20"/>
              <w:szCs w:val="20"/>
            </w:rPr>
          </w:pPr>
          <w:r w:rsidRPr="00360FC2">
            <w:rPr>
              <w:rFonts w:ascii="Arial" w:hAnsi="Arial" w:cs="Arial"/>
              <w:sz w:val="20"/>
              <w:szCs w:val="20"/>
            </w:rPr>
            <w:t>I &amp; II</w:t>
          </w:r>
        </w:p>
      </w:tc>
      <w:tc>
        <w:tcPr>
          <w:tcW w:w="1350" w:type="dxa"/>
          <w:tcBorders>
            <w:top w:val="single" w:sz="12" w:space="0" w:color="auto"/>
            <w:left w:val="single" w:sz="8" w:space="0" w:color="auto"/>
            <w:bottom w:val="single" w:sz="12" w:space="0" w:color="auto"/>
            <w:right w:val="single" w:sz="8" w:space="0" w:color="auto"/>
          </w:tcBorders>
        </w:tcPr>
        <w:p w14:paraId="20502736" w14:textId="77777777" w:rsidR="00FD6F44" w:rsidRDefault="00FD6F44" w:rsidP="007A2BCF">
          <w:pPr>
            <w:pStyle w:val="NoSpacing"/>
            <w:rPr>
              <w:rFonts w:ascii="Arial" w:hAnsi="Arial" w:cs="Arial"/>
              <w:sz w:val="20"/>
              <w:szCs w:val="20"/>
            </w:rPr>
          </w:pPr>
          <w:r>
            <w:rPr>
              <w:rFonts w:ascii="Arial" w:hAnsi="Arial" w:cs="Arial"/>
              <w:sz w:val="20"/>
              <w:szCs w:val="20"/>
            </w:rPr>
            <w:t>1,2,4</w:t>
          </w:r>
        </w:p>
      </w:tc>
      <w:tc>
        <w:tcPr>
          <w:tcW w:w="1212" w:type="dxa"/>
          <w:tcBorders>
            <w:top w:val="single" w:sz="12" w:space="0" w:color="auto"/>
            <w:left w:val="single" w:sz="8" w:space="0" w:color="auto"/>
            <w:bottom w:val="single" w:sz="12" w:space="0" w:color="auto"/>
            <w:right w:val="single" w:sz="8" w:space="0" w:color="auto"/>
          </w:tcBorders>
        </w:tcPr>
        <w:p w14:paraId="3DFCFE7C" w14:textId="77777777" w:rsidR="00FD6F44" w:rsidRDefault="00FD6F44" w:rsidP="007A2BCF">
          <w:pPr>
            <w:pStyle w:val="NoSpacing"/>
            <w:rPr>
              <w:rFonts w:ascii="Arial" w:hAnsi="Arial" w:cs="Arial"/>
              <w:sz w:val="20"/>
              <w:szCs w:val="20"/>
            </w:rPr>
          </w:pPr>
          <w:r>
            <w:rPr>
              <w:rFonts w:ascii="Arial" w:hAnsi="Arial" w:cs="Arial"/>
              <w:sz w:val="20"/>
              <w:szCs w:val="20"/>
            </w:rPr>
            <w:t>1,3</w:t>
          </w:r>
        </w:p>
      </w:tc>
      <w:tc>
        <w:tcPr>
          <w:tcW w:w="1596" w:type="dxa"/>
          <w:tcBorders>
            <w:top w:val="single" w:sz="12" w:space="0" w:color="auto"/>
            <w:left w:val="single" w:sz="8" w:space="0" w:color="auto"/>
            <w:bottom w:val="single" w:sz="12" w:space="0" w:color="auto"/>
          </w:tcBorders>
        </w:tcPr>
        <w:p w14:paraId="2DBBB9E8" w14:textId="77777777" w:rsidR="00FD6F44" w:rsidRPr="00360FC2" w:rsidRDefault="00FD6F44" w:rsidP="007A2BCF">
          <w:pPr>
            <w:pStyle w:val="NoSpacing"/>
            <w:rPr>
              <w:rFonts w:ascii="Arial" w:hAnsi="Arial" w:cs="Arial"/>
              <w:sz w:val="20"/>
              <w:szCs w:val="20"/>
            </w:rPr>
          </w:pPr>
          <w:r w:rsidRPr="00360FC2">
            <w:rPr>
              <w:rFonts w:ascii="Arial" w:hAnsi="Arial" w:cs="Arial"/>
              <w:sz w:val="20"/>
              <w:szCs w:val="20"/>
            </w:rPr>
            <w:t>Guest speakers, role play and/or video are used in classroom to</w:t>
          </w:r>
        </w:p>
        <w:p w14:paraId="15D7D17A" w14:textId="77777777" w:rsidR="00FD6F44" w:rsidRPr="00360FC2" w:rsidRDefault="00FD6F44" w:rsidP="007A2BCF">
          <w:pPr>
            <w:pStyle w:val="NoSpacing"/>
            <w:rPr>
              <w:rFonts w:ascii="Arial" w:hAnsi="Arial" w:cs="Arial"/>
              <w:sz w:val="20"/>
              <w:szCs w:val="20"/>
            </w:rPr>
          </w:pPr>
          <w:r w:rsidRPr="00360FC2">
            <w:rPr>
              <w:rFonts w:ascii="Arial" w:hAnsi="Arial" w:cs="Arial"/>
              <w:sz w:val="20"/>
              <w:szCs w:val="20"/>
            </w:rPr>
            <w:t>demonstrate application of knowledge related to diverse populations and how to form alliances</w:t>
          </w:r>
        </w:p>
        <w:p w14:paraId="138BE0C8" w14:textId="77777777" w:rsidR="00FD6F44" w:rsidRPr="003C6020" w:rsidRDefault="00FD6F44" w:rsidP="007A2BCF">
          <w:pPr>
            <w:pStyle w:val="NoSpacing"/>
            <w:rPr>
              <w:rFonts w:ascii="Arial" w:hAnsi="Arial" w:cs="Arial"/>
              <w:sz w:val="20"/>
              <w:szCs w:val="20"/>
            </w:rPr>
          </w:pPr>
          <w:r w:rsidRPr="00360FC2">
            <w:rPr>
              <w:rFonts w:ascii="Arial" w:hAnsi="Arial" w:cs="Arial"/>
              <w:sz w:val="20"/>
              <w:szCs w:val="20"/>
            </w:rPr>
            <w:t>with them, as well as a diversity assignment</w:t>
          </w:r>
          <w:r>
            <w:rPr>
              <w:rFonts w:ascii="Arial" w:hAnsi="Arial" w:cs="Arial"/>
              <w:sz w:val="20"/>
              <w:szCs w:val="20"/>
            </w:rPr>
            <w:t xml:space="preserve"> focused on reflection (Knowledge and CA</w:t>
          </w:r>
        </w:p>
      </w:tc>
    </w:tr>
  </w:tbl>
  <w:p w14:paraId="0E52AEC0" w14:textId="77777777" w:rsidR="00FD6F44" w:rsidRDefault="00FD6F44" w:rsidP="007A2BCF">
    <w:pPr>
      <w:pStyle w:val="NoSpacing"/>
      <w:spacing w:line="360" w:lineRule="auto"/>
      <w:rPr>
        <w:b/>
        <w:sz w:val="24"/>
        <w:szCs w:val="24"/>
      </w:rPr>
    </w:pPr>
  </w:p>
  <w:p w14:paraId="1506A20B" w14:textId="77777777" w:rsidR="00FD6F44" w:rsidRDefault="00FD6F44" w:rsidP="007A2BCF">
    <w:pPr>
      <w:jc w:val="center"/>
      <w:rPr>
        <w:rFonts w:ascii="Arial" w:eastAsiaTheme="minorEastAsia" w:hAnsi="Arial" w:cs="Arial"/>
        <w:color w:val="000000"/>
      </w:rPr>
    </w:pPr>
  </w:p>
  <w:p w14:paraId="3A832C81" w14:textId="77777777" w:rsidR="00FD6F44" w:rsidRDefault="00FD6F44" w:rsidP="007A2BCF">
    <w:pPr>
      <w:jc w:val="center"/>
      <w:rPr>
        <w:rFonts w:ascii="Arial" w:eastAsiaTheme="minorEastAsia" w:hAnsi="Arial" w:cs="Arial"/>
        <w:color w:val="000000"/>
      </w:rPr>
    </w:pPr>
    <w:r w:rsidRPr="00C94BCD">
      <w:rPr>
        <w:rFonts w:ascii="Arial" w:eastAsiaTheme="minorEastAsia" w:hAnsi="Arial" w:cs="Arial"/>
        <w:color w:val="000000"/>
      </w:rPr>
      <w:t>Competency 1: Demonstrate Ethical and Professional Behavior</w:t>
    </w:r>
  </w:p>
  <w:p w14:paraId="554F26A8" w14:textId="77777777" w:rsidR="00FD6F44" w:rsidRPr="00C94BCD" w:rsidRDefault="00FD6F44" w:rsidP="007A2BCF">
    <w:pPr>
      <w:rPr>
        <w:rFonts w:ascii="Arial" w:eastAsiaTheme="minorEastAsia" w:hAnsi="Arial" w:cs="Arial"/>
        <w:color w:val="000000"/>
      </w:rPr>
    </w:pPr>
    <w:r w:rsidRPr="00C94BCD">
      <w:rPr>
        <w:rFonts w:ascii="Arial" w:eastAsiaTheme="minorEastAsia" w:hAnsi="Arial" w:cs="Arial"/>
        <w:color w:val="000000"/>
      </w:rPr>
      <w:t>Practitioners in clinical social work recognize the importance of the therapeutic relationship, the person-­</w:t>
    </w:r>
    <w:r w:rsidRPr="00C94BCD">
      <w:rPr>
        <w:rFonts w:ascii="Cambria Math" w:eastAsiaTheme="minorEastAsia" w:hAnsi="Cambria Math" w:cs="Cambria Math"/>
        <w:color w:val="000000"/>
      </w:rPr>
      <w:t>‐</w:t>
    </w:r>
    <w:r w:rsidRPr="00C94BCD">
      <w:rPr>
        <w:rFonts w:ascii="Arial" w:eastAsiaTheme="minorEastAsia" w:hAnsi="Arial" w:cs="Arial"/>
        <w:color w:val="000000"/>
      </w:rPr>
      <w:t>in-­environment and the strengths perspectives, the professional use of self with clients, and adherence to ethical guid</w:t>
    </w:r>
    <w:r>
      <w:rPr>
        <w:rFonts w:ascii="Arial" w:eastAsiaTheme="minorEastAsia" w:hAnsi="Arial" w:cs="Arial"/>
        <w:color w:val="000000"/>
      </w:rPr>
      <w:t>elines of professional behavior</w:t>
    </w:r>
    <w:r w:rsidRPr="00C94BCD">
      <w:rPr>
        <w:rFonts w:ascii="Arial" w:eastAsiaTheme="minorEastAsia" w:hAnsi="Arial" w:cs="Arial"/>
        <w:color w:val="000000"/>
      </w:rPr>
      <w:t xml:space="preserve"> of professional behavior. Practitioners in clinical social work:  </w:t>
    </w:r>
  </w:p>
  <w:p w14:paraId="588AD40B" w14:textId="77777777" w:rsidR="00FD6F44" w:rsidRPr="00C94BCD" w:rsidRDefault="00FD6F44" w:rsidP="007A2BCF">
    <w:pPr>
      <w:pStyle w:val="ListParagraph"/>
      <w:numPr>
        <w:ilvl w:val="0"/>
        <w:numId w:val="12"/>
      </w:numPr>
      <w:rPr>
        <w:rFonts w:ascii="Arial" w:eastAsiaTheme="minorEastAsia" w:hAnsi="Arial" w:cs="Arial"/>
        <w:color w:val="000000"/>
      </w:rPr>
    </w:pPr>
    <w:r w:rsidRPr="00C94BCD">
      <w:rPr>
        <w:rFonts w:ascii="Arial" w:eastAsiaTheme="minorEastAsia" w:hAnsi="Arial" w:cs="Arial"/>
        <w:color w:val="000000"/>
      </w:rPr>
      <w:t>readily identify as social work professionals;</w:t>
    </w:r>
  </w:p>
  <w:p w14:paraId="60F5A21B" w14:textId="77777777" w:rsidR="00FD6F44" w:rsidRPr="00C94BCD" w:rsidRDefault="00FD6F44" w:rsidP="007A2BCF">
    <w:pPr>
      <w:pStyle w:val="ListParagraph"/>
      <w:numPr>
        <w:ilvl w:val="0"/>
        <w:numId w:val="12"/>
      </w:numPr>
      <w:rPr>
        <w:rFonts w:ascii="Arial" w:eastAsiaTheme="minorEastAsia" w:hAnsi="Arial" w:cs="Arial"/>
        <w:color w:val="000000"/>
      </w:rPr>
    </w:pPr>
    <w:r w:rsidRPr="00C94BCD">
      <w:rPr>
        <w:rFonts w:ascii="Arial" w:eastAsiaTheme="minorEastAsia" w:hAnsi="Arial" w:cs="Arial"/>
        <w:color w:val="000000"/>
      </w:rPr>
      <w:t>demonstrate professional use of self with client;</w:t>
    </w:r>
  </w:p>
  <w:p w14:paraId="4A58C62B" w14:textId="77777777" w:rsidR="00FD6F44" w:rsidRPr="00C94BCD" w:rsidRDefault="00FD6F44" w:rsidP="007A2BCF">
    <w:pPr>
      <w:pStyle w:val="ListParagraph"/>
      <w:numPr>
        <w:ilvl w:val="0"/>
        <w:numId w:val="12"/>
      </w:numPr>
      <w:rPr>
        <w:rFonts w:ascii="Arial" w:eastAsiaTheme="minorEastAsia" w:hAnsi="Arial" w:cs="Arial"/>
        <w:color w:val="000000"/>
      </w:rPr>
    </w:pPr>
    <w:r w:rsidRPr="00C94BCD">
      <w:rPr>
        <w:rFonts w:ascii="Arial" w:eastAsiaTheme="minorEastAsia" w:hAnsi="Arial" w:cs="Arial"/>
        <w:color w:val="000000"/>
      </w:rPr>
      <w:t>understand and identify professional strengths, limitations and challenges;</w:t>
    </w:r>
  </w:p>
  <w:p w14:paraId="4AB729BA" w14:textId="77777777" w:rsidR="00FD6F44" w:rsidRPr="00C94BCD" w:rsidRDefault="00FD6F44" w:rsidP="007A2BCF">
    <w:pPr>
      <w:pStyle w:val="ListParagraph"/>
      <w:numPr>
        <w:ilvl w:val="0"/>
        <w:numId w:val="12"/>
      </w:numPr>
      <w:rPr>
        <w:rFonts w:ascii="Arial" w:eastAsiaTheme="minorEastAsia" w:hAnsi="Arial" w:cs="Arial"/>
        <w:color w:val="000000"/>
      </w:rPr>
    </w:pPr>
    <w:r w:rsidRPr="00C94BCD">
      <w:rPr>
        <w:rFonts w:ascii="Arial" w:eastAsiaTheme="minorEastAsia" w:hAnsi="Arial" w:cs="Arial"/>
        <w:color w:val="000000"/>
      </w:rPr>
      <w:t>develop, manage, and maintain therapeutic relationships with clients within the person-­</w:t>
    </w:r>
    <w:r w:rsidRPr="00C94BCD">
      <w:rPr>
        <w:rFonts w:ascii="Cambria Math" w:eastAsiaTheme="minorEastAsia" w:hAnsi="Cambria Math" w:cs="Cambria Math"/>
        <w:color w:val="000000"/>
      </w:rPr>
      <w:t>‐</w:t>
    </w:r>
    <w:r w:rsidRPr="00C94BCD">
      <w:rPr>
        <w:rFonts w:ascii="Arial" w:eastAsiaTheme="minorEastAsia" w:hAnsi="Arial" w:cs="Arial"/>
        <w:color w:val="000000"/>
      </w:rPr>
      <w:t>in-­</w:t>
    </w:r>
    <w:r w:rsidRPr="00C94BCD">
      <w:rPr>
        <w:rFonts w:ascii="Cambria Math" w:eastAsiaTheme="minorEastAsia" w:hAnsi="Cambria Math" w:cs="Cambria Math"/>
        <w:color w:val="000000"/>
      </w:rPr>
      <w:t>‐</w:t>
    </w:r>
    <w:r w:rsidRPr="00C94BCD">
      <w:rPr>
        <w:rFonts w:ascii="Arial" w:eastAsiaTheme="minorEastAsia" w:hAnsi="Arial" w:cs="Arial"/>
        <w:color w:val="000000"/>
      </w:rPr>
      <w:t>environment and strengths perspectives; and</w:t>
    </w:r>
  </w:p>
  <w:p w14:paraId="6FC890B2" w14:textId="77777777" w:rsidR="00FD6F44" w:rsidRPr="00B75573" w:rsidRDefault="00FD6F44" w:rsidP="007A2BCF">
    <w:pPr>
      <w:pStyle w:val="ListParagraph"/>
      <w:numPr>
        <w:ilvl w:val="0"/>
        <w:numId w:val="12"/>
      </w:numPr>
      <w:rPr>
        <w:b/>
        <w:color w:val="000000"/>
      </w:rPr>
    </w:pPr>
    <w:r w:rsidRPr="00C94BCD">
      <w:rPr>
        <w:rFonts w:ascii="Arial" w:eastAsiaTheme="minorEastAsia" w:hAnsi="Arial" w:cs="Arial"/>
        <w:color w:val="000000"/>
      </w:rPr>
      <w:t>understand the need for and use clinical social work supervision and consultation.</w:t>
    </w:r>
  </w:p>
  <w:p w14:paraId="7C63EB7B" w14:textId="77777777" w:rsidR="00FD6F44" w:rsidRDefault="00FD6F44" w:rsidP="007A2BCF">
    <w:pPr>
      <w:pStyle w:val="NoSpacing"/>
      <w:jc w:val="center"/>
      <w:rPr>
        <w:rFonts w:ascii="Arial" w:hAnsi="Arial" w:cs="Arial"/>
      </w:rPr>
    </w:pPr>
    <w:r>
      <w:rPr>
        <w:rFonts w:ascii="Arial" w:hAnsi="Arial" w:cs="Arial"/>
      </w:rPr>
      <w:t xml:space="preserve">Competency 2:  Engage in Diversity and Difference </w:t>
    </w:r>
  </w:p>
  <w:p w14:paraId="204DC067" w14:textId="77777777" w:rsidR="00FD6F44" w:rsidRDefault="00FD6F44" w:rsidP="007A2BCF">
    <w:pPr>
      <w:pStyle w:val="NoSpacing"/>
      <w:rPr>
        <w:rFonts w:ascii="Arial" w:hAnsi="Arial" w:cs="Arial"/>
      </w:rPr>
    </w:pPr>
  </w:p>
  <w:p w14:paraId="61DAE67D" w14:textId="77777777" w:rsidR="00FD6F44" w:rsidRDefault="00FD6F44" w:rsidP="007A2BCF">
    <w:pPr>
      <w:pStyle w:val="NoSpacing"/>
      <w:rPr>
        <w:rFonts w:ascii="Arial" w:hAnsi="Arial" w:cs="Arial"/>
      </w:rPr>
    </w:pPr>
    <w:r w:rsidRPr="00207F23">
      <w:rPr>
        <w:rFonts w:ascii="Arial" w:hAnsi="Arial" w:cs="Arial"/>
      </w:rPr>
      <w:t>Practitioners in clinical social work are knowledgeable about many forms of diversity and difference and how these influence the</w:t>
    </w:r>
    <w:r>
      <w:rPr>
        <w:rFonts w:ascii="Arial" w:hAnsi="Arial" w:cs="Arial"/>
      </w:rPr>
      <w:t xml:space="preserve"> therapeutic relationship and client’s presenting issues.  The </w:t>
    </w:r>
    <w:r w:rsidRPr="00207F23">
      <w:rPr>
        <w:rFonts w:ascii="Arial" w:hAnsi="Arial" w:cs="Arial"/>
      </w:rPr>
      <w:t>various dimensions of diversity affect (a) explanations of illness, (b) help-­</w:t>
    </w:r>
    <w:r w:rsidRPr="00207F23">
      <w:rPr>
        <w:rFonts w:ascii="Cambria Math" w:hAnsi="Cambria Math" w:cs="Cambria Math"/>
      </w:rPr>
      <w:t>‐</w:t>
    </w:r>
    <w:r w:rsidRPr="00207F23">
      <w:rPr>
        <w:rFonts w:ascii="Arial" w:hAnsi="Arial" w:cs="Arial"/>
      </w:rPr>
      <w:t>seeking behaviors, and (c) healing</w:t>
    </w:r>
    <w:r>
      <w:rPr>
        <w:rFonts w:ascii="Arial" w:hAnsi="Arial" w:cs="Arial"/>
      </w:rPr>
      <w:t xml:space="preserve"> </w:t>
    </w:r>
    <w:r w:rsidRPr="00207F23">
      <w:rPr>
        <w:rFonts w:ascii="Arial" w:hAnsi="Arial" w:cs="Arial"/>
      </w:rPr>
      <w:t xml:space="preserve">practices.  Practitioners in clinical social work are cultural beings and understand how clinical practice choices </w:t>
    </w:r>
    <w:proofErr w:type="gramStart"/>
    <w:r w:rsidRPr="00207F23">
      <w:rPr>
        <w:rFonts w:ascii="Arial" w:hAnsi="Arial" w:cs="Arial"/>
      </w:rPr>
      <w:t>can</w:t>
    </w:r>
    <w:r>
      <w:rPr>
        <w:rFonts w:ascii="Arial" w:hAnsi="Arial" w:cs="Arial"/>
      </w:rPr>
      <w:t xml:space="preserve"> </w:t>
    </w:r>
    <w:r w:rsidRPr="00207F23">
      <w:rPr>
        <w:rFonts w:ascii="Arial" w:hAnsi="Arial" w:cs="Arial"/>
      </w:rPr>
      <w:t>be culture</w:t>
    </w:r>
    <w:proofErr w:type="gramEnd"/>
    <w:r w:rsidRPr="00207F23">
      <w:rPr>
        <w:rFonts w:ascii="Arial" w:hAnsi="Arial" w:cs="Arial"/>
      </w:rPr>
      <w:t>-­</w:t>
    </w:r>
    <w:r w:rsidRPr="00207F23">
      <w:rPr>
        <w:rFonts w:ascii="Cambria Math" w:hAnsi="Cambria Math" w:cs="Cambria Math"/>
      </w:rPr>
      <w:t>‐</w:t>
    </w:r>
    <w:r w:rsidRPr="00207F23">
      <w:rPr>
        <w:rFonts w:ascii="Arial" w:hAnsi="Arial" w:cs="Arial"/>
      </w:rPr>
      <w:t xml:space="preserve">bound. Practitioners in clinical social work:  </w:t>
    </w:r>
  </w:p>
  <w:p w14:paraId="25C936A8" w14:textId="77777777" w:rsidR="00FD6F44" w:rsidRPr="00207F23" w:rsidRDefault="00FD6F44" w:rsidP="007A2BCF">
    <w:pPr>
      <w:pStyle w:val="ListParagraph"/>
      <w:numPr>
        <w:ilvl w:val="0"/>
        <w:numId w:val="13"/>
      </w:numPr>
      <w:autoSpaceDE w:val="0"/>
      <w:autoSpaceDN w:val="0"/>
      <w:adjustRightInd w:val="0"/>
      <w:spacing w:after="0" w:line="240" w:lineRule="auto"/>
      <w:rPr>
        <w:rFonts w:ascii="Arial" w:hAnsi="Arial" w:cs="Arial"/>
      </w:rPr>
    </w:pPr>
    <w:r w:rsidRPr="00207F23">
      <w:rPr>
        <w:rFonts w:ascii="Arial" w:hAnsi="Arial" w:cs="Arial"/>
      </w:rPr>
      <w:t>research and apply knowledge of diverse populations to enhance client wellbeing;</w:t>
    </w:r>
  </w:p>
  <w:p w14:paraId="33429E6D" w14:textId="77777777" w:rsidR="00FD6F44" w:rsidRPr="00207F23" w:rsidRDefault="00FD6F44" w:rsidP="007A2BCF">
    <w:pPr>
      <w:pStyle w:val="ListParagraph"/>
      <w:numPr>
        <w:ilvl w:val="0"/>
        <w:numId w:val="13"/>
      </w:numPr>
      <w:autoSpaceDE w:val="0"/>
      <w:autoSpaceDN w:val="0"/>
      <w:adjustRightInd w:val="0"/>
      <w:spacing w:after="0" w:line="240" w:lineRule="auto"/>
      <w:rPr>
        <w:rFonts w:ascii="Arial" w:hAnsi="Arial" w:cs="Arial"/>
      </w:rPr>
    </w:pPr>
    <w:r w:rsidRPr="00207F23">
      <w:rPr>
        <w:rFonts w:ascii="Arial" w:hAnsi="Arial" w:cs="Arial"/>
      </w:rPr>
      <w:t>work effectively with diverse populations; and</w:t>
    </w:r>
  </w:p>
  <w:p w14:paraId="1DC49BCF" w14:textId="77777777" w:rsidR="00FD6F44" w:rsidRPr="00207F23" w:rsidRDefault="00FD6F44" w:rsidP="007A2BCF">
    <w:pPr>
      <w:pStyle w:val="NoSpacing"/>
      <w:numPr>
        <w:ilvl w:val="0"/>
        <w:numId w:val="13"/>
      </w:numPr>
      <w:rPr>
        <w:rFonts w:ascii="Arial" w:hAnsi="Arial" w:cs="Arial"/>
        <w:b/>
        <w:color w:val="000000"/>
      </w:rPr>
    </w:pPr>
    <w:r w:rsidRPr="00207F23">
      <w:rPr>
        <w:rFonts w:ascii="Arial" w:hAnsi="Arial" w:cs="Arial"/>
      </w:rPr>
      <w:t xml:space="preserve">identify and use practitioner/client differences from a </w:t>
    </w:r>
    <w:proofErr w:type="gramStart"/>
    <w:r w:rsidRPr="00207F23">
      <w:rPr>
        <w:rFonts w:ascii="Arial" w:hAnsi="Arial" w:cs="Arial"/>
      </w:rPr>
      <w:t>strengths</w:t>
    </w:r>
    <w:proofErr w:type="gramEnd"/>
    <w:r w:rsidRPr="00207F23">
      <w:rPr>
        <w:rFonts w:ascii="Arial" w:hAnsi="Arial" w:cs="Arial"/>
      </w:rPr>
      <w:t xml:space="preserve"> perspective.</w:t>
    </w:r>
  </w:p>
  <w:p w14:paraId="1A9A105F" w14:textId="77777777" w:rsidR="00FD6F44" w:rsidRPr="00B75573" w:rsidRDefault="00FD6F44" w:rsidP="007A2BCF">
    <w:pPr>
      <w:pStyle w:val="NoSpacing"/>
      <w:rPr>
        <w:b/>
        <w:color w:val="000000"/>
      </w:rPr>
    </w:pPr>
  </w:p>
  <w:p w14:paraId="2372BA85" w14:textId="77777777" w:rsidR="00FD6F44" w:rsidRDefault="00FD6F44" w:rsidP="007A2BCF">
    <w:pPr>
      <w:rPr>
        <w:rFonts w:ascii="Arial" w:hAnsi="Arial" w:cs="Arial"/>
        <w:b/>
        <w:bCs/>
        <w:i/>
        <w:color w:val="000000"/>
      </w:rPr>
    </w:pPr>
  </w:p>
  <w:p w14:paraId="036A4807" w14:textId="77777777" w:rsidR="00FD6F44" w:rsidRDefault="00FD6F44" w:rsidP="007A2BCF">
    <w:pPr>
      <w:rPr>
        <w:rFonts w:ascii="Arial" w:hAnsi="Arial" w:cs="Arial"/>
        <w:b/>
        <w:bCs/>
        <w:i/>
        <w:color w:val="000000"/>
      </w:rPr>
    </w:pPr>
  </w:p>
  <w:p w14:paraId="1F59E181" w14:textId="77777777" w:rsidR="00FD6F44" w:rsidRDefault="00FD6F44" w:rsidP="007A2BCF">
    <w:pPr>
      <w:rPr>
        <w:rFonts w:ascii="Arial" w:hAnsi="Arial" w:cs="Arial"/>
        <w:b/>
        <w:bCs/>
        <w:i/>
        <w:color w:val="000000"/>
      </w:rPr>
    </w:pPr>
  </w:p>
  <w:p w14:paraId="562CC4BD" w14:textId="77777777" w:rsidR="00FD6F44" w:rsidRPr="00B75573" w:rsidRDefault="00FD6F44" w:rsidP="007A2BCF">
    <w:pPr>
      <w:rPr>
        <w:rFonts w:ascii="Arial" w:hAnsi="Arial" w:cs="Arial"/>
        <w:i/>
        <w:color w:val="000000"/>
      </w:rPr>
    </w:pPr>
    <w:r w:rsidRPr="00B75573">
      <w:rPr>
        <w:rFonts w:ascii="Arial" w:hAnsi="Arial" w:cs="Arial"/>
        <w:b/>
        <w:bCs/>
        <w:i/>
        <w:color w:val="000000"/>
      </w:rPr>
      <w:t xml:space="preserve">M2.1.4 </w:t>
    </w:r>
    <w:r w:rsidRPr="00B75573">
      <w:rPr>
        <w:rFonts w:ascii="Arial" w:hAnsi="Arial" w:cs="Arial"/>
        <w:i/>
        <w:color w:val="000000"/>
      </w:rPr>
      <w:t>For each area of specialized practice, the program provides a matrix that illustrates how its curriculum content implements the nine required social work competencies and any additional competencies added by the program.</w:t>
    </w:r>
  </w:p>
  <w:p w14:paraId="0E846D51" w14:textId="77777777" w:rsidR="00FD6F44" w:rsidRDefault="00FD6F44" w:rsidP="007A2BCF">
    <w:pPr>
      <w:pStyle w:val="Default"/>
      <w:jc w:val="center"/>
      <w:rPr>
        <w:b/>
        <w:sz w:val="20"/>
        <w:szCs w:val="20"/>
      </w:rPr>
    </w:pPr>
  </w:p>
  <w:p w14:paraId="09626A10" w14:textId="77777777" w:rsidR="00FD6F44" w:rsidRPr="00B75573" w:rsidRDefault="00FD6F44" w:rsidP="007A2BCF">
    <w:pPr>
      <w:pStyle w:val="Default"/>
      <w:jc w:val="center"/>
      <w:rPr>
        <w:b/>
        <w:sz w:val="22"/>
        <w:szCs w:val="22"/>
      </w:rPr>
    </w:pPr>
    <w:r w:rsidRPr="00B75573">
      <w:rPr>
        <w:b/>
        <w:sz w:val="22"/>
        <w:szCs w:val="22"/>
      </w:rPr>
      <w:t>Curriculum Matrix Example</w:t>
    </w:r>
  </w:p>
  <w:p w14:paraId="1F8B8CAE" w14:textId="77777777" w:rsidR="00FD6F44" w:rsidRPr="00B75573" w:rsidRDefault="00FD6F44" w:rsidP="007A2BCF">
    <w:pPr>
      <w:pStyle w:val="Default"/>
      <w:jc w:val="center"/>
      <w:rPr>
        <w:b/>
        <w:sz w:val="22"/>
        <w:szCs w:val="22"/>
      </w:rPr>
    </w:pPr>
    <w:r w:rsidRPr="00B75573">
      <w:rPr>
        <w:b/>
        <w:sz w:val="22"/>
        <w:szCs w:val="22"/>
      </w:rPr>
      <w:t>Location of Curriculum Content Associated with Clinical Social Work Area of Specialized Practice</w:t>
    </w:r>
  </w:p>
  <w:p w14:paraId="47A0B0C6" w14:textId="77777777" w:rsidR="00FD6F44" w:rsidRPr="000F39DD" w:rsidRDefault="00FD6F44" w:rsidP="007A2BCF">
    <w:pPr>
      <w:pStyle w:val="Default"/>
      <w:jc w:val="center"/>
      <w:rPr>
        <w:b/>
        <w:sz w:val="20"/>
        <w:szCs w:val="20"/>
      </w:rPr>
    </w:pPr>
  </w:p>
  <w:p w14:paraId="7AAA734B" w14:textId="77777777" w:rsidR="00FD6F44" w:rsidRDefault="00FD6F44" w:rsidP="007A2BCF">
    <w:pPr>
      <w:pStyle w:val="Default"/>
      <w:jc w:val="center"/>
      <w:rPr>
        <w:b/>
        <w:sz w:val="20"/>
        <w:szCs w:val="20"/>
      </w:rPr>
    </w:pPr>
  </w:p>
  <w:tbl>
    <w:tblPr>
      <w:tblStyle w:val="TableGrid"/>
      <w:tblW w:w="957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596"/>
      <w:gridCol w:w="2742"/>
      <w:gridCol w:w="1080"/>
      <w:gridCol w:w="1350"/>
      <w:gridCol w:w="1212"/>
      <w:gridCol w:w="1596"/>
    </w:tblGrid>
    <w:tr w:rsidR="00FD6F44" w14:paraId="1911CD0C" w14:textId="77777777" w:rsidTr="00E35756">
      <w:tc>
        <w:tcPr>
          <w:tcW w:w="1596" w:type="dxa"/>
          <w:tcBorders>
            <w:bottom w:val="single" w:sz="12" w:space="0" w:color="auto"/>
            <w:right w:val="single" w:sz="8" w:space="0" w:color="auto"/>
          </w:tcBorders>
          <w:vAlign w:val="center"/>
        </w:tcPr>
        <w:p w14:paraId="7815FC81" w14:textId="77777777" w:rsidR="00FD6F44" w:rsidRPr="007B3C4D" w:rsidRDefault="00FD6F44" w:rsidP="007A2BCF">
          <w:pPr>
            <w:pStyle w:val="NoSpacing"/>
            <w:jc w:val="center"/>
            <w:rPr>
              <w:rFonts w:ascii="Arial" w:hAnsi="Arial" w:cs="Arial"/>
              <w:b/>
              <w:sz w:val="20"/>
              <w:szCs w:val="20"/>
            </w:rPr>
          </w:pPr>
          <w:r>
            <w:rPr>
              <w:rFonts w:ascii="Arial" w:hAnsi="Arial" w:cs="Arial"/>
              <w:b/>
              <w:sz w:val="20"/>
              <w:szCs w:val="20"/>
            </w:rPr>
            <w:t>Competency</w:t>
          </w:r>
        </w:p>
      </w:tc>
      <w:tc>
        <w:tcPr>
          <w:tcW w:w="2742" w:type="dxa"/>
          <w:tcBorders>
            <w:left w:val="single" w:sz="8" w:space="0" w:color="auto"/>
            <w:bottom w:val="single" w:sz="12" w:space="0" w:color="auto"/>
            <w:right w:val="thinThickSmallGap" w:sz="24" w:space="0" w:color="auto"/>
          </w:tcBorders>
          <w:vAlign w:val="center"/>
        </w:tcPr>
        <w:p w14:paraId="7E84CF3B" w14:textId="77777777" w:rsidR="00FD6F44" w:rsidRPr="007B3C4D" w:rsidRDefault="00FD6F44" w:rsidP="007A2BCF">
          <w:pPr>
            <w:pStyle w:val="NoSpacing"/>
            <w:jc w:val="center"/>
            <w:rPr>
              <w:rFonts w:ascii="Arial" w:hAnsi="Arial" w:cs="Arial"/>
              <w:b/>
              <w:sz w:val="20"/>
              <w:szCs w:val="20"/>
            </w:rPr>
          </w:pPr>
          <w:r>
            <w:rPr>
              <w:rFonts w:ascii="Arial" w:hAnsi="Arial" w:cs="Arial"/>
              <w:b/>
              <w:sz w:val="20"/>
              <w:szCs w:val="20"/>
            </w:rPr>
            <w:t>Competency Description</w:t>
          </w:r>
        </w:p>
      </w:tc>
      <w:tc>
        <w:tcPr>
          <w:tcW w:w="1080" w:type="dxa"/>
          <w:tcBorders>
            <w:left w:val="thinThickSmallGap" w:sz="24" w:space="0" w:color="auto"/>
            <w:bottom w:val="single" w:sz="12" w:space="0" w:color="auto"/>
            <w:right w:val="single" w:sz="8" w:space="0" w:color="auto"/>
          </w:tcBorders>
          <w:vAlign w:val="center"/>
        </w:tcPr>
        <w:p w14:paraId="480EF9B4" w14:textId="77777777" w:rsidR="00FD6F44" w:rsidRPr="007B3C4D" w:rsidRDefault="00FD6F44" w:rsidP="007A2BCF">
          <w:pPr>
            <w:pStyle w:val="NoSpacing"/>
            <w:jc w:val="center"/>
            <w:rPr>
              <w:rFonts w:ascii="Arial" w:hAnsi="Arial" w:cs="Arial"/>
              <w:b/>
              <w:sz w:val="20"/>
              <w:szCs w:val="20"/>
            </w:rPr>
          </w:pPr>
          <w:r>
            <w:rPr>
              <w:rFonts w:ascii="Arial" w:hAnsi="Arial" w:cs="Arial"/>
              <w:b/>
              <w:sz w:val="20"/>
              <w:szCs w:val="20"/>
            </w:rPr>
            <w:t>Courses</w:t>
          </w:r>
        </w:p>
      </w:tc>
      <w:tc>
        <w:tcPr>
          <w:tcW w:w="1350" w:type="dxa"/>
          <w:tcBorders>
            <w:left w:val="single" w:sz="8" w:space="0" w:color="auto"/>
            <w:bottom w:val="single" w:sz="12" w:space="0" w:color="auto"/>
            <w:right w:val="single" w:sz="8" w:space="0" w:color="auto"/>
          </w:tcBorders>
          <w:vAlign w:val="center"/>
        </w:tcPr>
        <w:p w14:paraId="018E3E32" w14:textId="77777777" w:rsidR="00FD6F44" w:rsidRPr="007B3C4D" w:rsidRDefault="00FD6F44" w:rsidP="007A2BCF">
          <w:pPr>
            <w:pStyle w:val="NoSpacing"/>
            <w:jc w:val="center"/>
            <w:rPr>
              <w:rFonts w:ascii="Arial" w:hAnsi="Arial" w:cs="Arial"/>
              <w:b/>
              <w:sz w:val="20"/>
              <w:szCs w:val="20"/>
            </w:rPr>
          </w:pPr>
          <w:r>
            <w:rPr>
              <w:rFonts w:ascii="Arial" w:hAnsi="Arial" w:cs="Arial"/>
              <w:b/>
              <w:sz w:val="20"/>
              <w:szCs w:val="20"/>
            </w:rPr>
            <w:t>Course Objectives (# in syllabus)</w:t>
          </w:r>
        </w:p>
      </w:tc>
      <w:tc>
        <w:tcPr>
          <w:tcW w:w="1212" w:type="dxa"/>
          <w:tcBorders>
            <w:left w:val="single" w:sz="8" w:space="0" w:color="auto"/>
            <w:bottom w:val="single" w:sz="12" w:space="0" w:color="auto"/>
            <w:right w:val="single" w:sz="8" w:space="0" w:color="auto"/>
          </w:tcBorders>
          <w:vAlign w:val="center"/>
        </w:tcPr>
        <w:p w14:paraId="48F4A26F" w14:textId="77777777" w:rsidR="00FD6F44" w:rsidRPr="007B3C4D" w:rsidRDefault="00FD6F44" w:rsidP="007A2BCF">
          <w:pPr>
            <w:pStyle w:val="NoSpacing"/>
            <w:jc w:val="center"/>
            <w:rPr>
              <w:rFonts w:ascii="Arial" w:hAnsi="Arial" w:cs="Arial"/>
              <w:b/>
              <w:sz w:val="20"/>
              <w:szCs w:val="20"/>
            </w:rPr>
          </w:pPr>
          <w:r>
            <w:rPr>
              <w:rFonts w:ascii="Arial" w:hAnsi="Arial" w:cs="Arial"/>
              <w:b/>
              <w:sz w:val="20"/>
              <w:szCs w:val="20"/>
            </w:rPr>
            <w:t>Course Units or week covered</w:t>
          </w:r>
        </w:p>
      </w:tc>
      <w:tc>
        <w:tcPr>
          <w:tcW w:w="1596" w:type="dxa"/>
          <w:tcBorders>
            <w:left w:val="single" w:sz="8" w:space="0" w:color="auto"/>
            <w:bottom w:val="single" w:sz="12" w:space="0" w:color="auto"/>
          </w:tcBorders>
          <w:vAlign w:val="center"/>
        </w:tcPr>
        <w:p w14:paraId="6C0864D9" w14:textId="77777777" w:rsidR="00FD6F44" w:rsidRPr="007B3C4D" w:rsidRDefault="00FD6F44" w:rsidP="007A2BCF">
          <w:pPr>
            <w:pStyle w:val="NoSpacing"/>
            <w:jc w:val="center"/>
            <w:rPr>
              <w:rFonts w:ascii="Arial" w:hAnsi="Arial" w:cs="Arial"/>
              <w:b/>
              <w:sz w:val="20"/>
              <w:szCs w:val="20"/>
            </w:rPr>
          </w:pPr>
          <w:r>
            <w:rPr>
              <w:rFonts w:ascii="Arial" w:hAnsi="Arial" w:cs="Arial"/>
              <w:b/>
              <w:sz w:val="20"/>
              <w:szCs w:val="20"/>
            </w:rPr>
            <w:t>Assignments</w:t>
          </w:r>
        </w:p>
      </w:tc>
    </w:tr>
    <w:tr w:rsidR="00FD6F44" w14:paraId="017AD03A" w14:textId="77777777" w:rsidTr="00E35756">
      <w:tc>
        <w:tcPr>
          <w:tcW w:w="1596" w:type="dxa"/>
          <w:tcBorders>
            <w:top w:val="single" w:sz="12" w:space="0" w:color="auto"/>
            <w:bottom w:val="single" w:sz="12" w:space="0" w:color="auto"/>
            <w:right w:val="single" w:sz="8" w:space="0" w:color="auto"/>
          </w:tcBorders>
        </w:tcPr>
        <w:p w14:paraId="5AF414B5" w14:textId="77777777" w:rsidR="00FD6F44" w:rsidRDefault="00FD6F44" w:rsidP="007A2BCF">
          <w:pPr>
            <w:pStyle w:val="NoSpacing"/>
            <w:jc w:val="center"/>
            <w:rPr>
              <w:rFonts w:ascii="Arial" w:hAnsi="Arial" w:cs="Arial"/>
              <w:b/>
              <w:sz w:val="20"/>
              <w:szCs w:val="20"/>
            </w:rPr>
          </w:pPr>
          <w:r>
            <w:rPr>
              <w:rFonts w:ascii="Arial" w:hAnsi="Arial" w:cs="Arial"/>
              <w:b/>
              <w:sz w:val="20"/>
              <w:szCs w:val="20"/>
            </w:rPr>
            <w:t>1:  Demonstrate ethical and professional behavior</w:t>
          </w:r>
        </w:p>
        <w:p w14:paraId="60CB4B4E" w14:textId="77777777" w:rsidR="00FD6F44" w:rsidRDefault="00FD6F44" w:rsidP="007A2BCF">
          <w:pPr>
            <w:pStyle w:val="NoSpacing"/>
            <w:jc w:val="center"/>
            <w:rPr>
              <w:rFonts w:ascii="Arial" w:hAnsi="Arial" w:cs="Arial"/>
              <w:b/>
              <w:sz w:val="20"/>
              <w:szCs w:val="20"/>
            </w:rPr>
          </w:pPr>
        </w:p>
        <w:p w14:paraId="7214CA39" w14:textId="77777777" w:rsidR="00FD6F44" w:rsidRDefault="00FD6F44" w:rsidP="007A2BCF">
          <w:pPr>
            <w:pStyle w:val="NoSpacing"/>
            <w:jc w:val="center"/>
            <w:rPr>
              <w:rFonts w:ascii="Arial" w:hAnsi="Arial" w:cs="Arial"/>
              <w:b/>
              <w:sz w:val="20"/>
              <w:szCs w:val="20"/>
            </w:rPr>
          </w:pPr>
        </w:p>
        <w:p w14:paraId="229ED336" w14:textId="77777777" w:rsidR="00FD6F44" w:rsidRDefault="00FD6F44" w:rsidP="007A2BCF">
          <w:pPr>
            <w:pStyle w:val="NoSpacing"/>
            <w:jc w:val="center"/>
            <w:rPr>
              <w:rFonts w:ascii="Arial" w:hAnsi="Arial" w:cs="Arial"/>
              <w:b/>
              <w:sz w:val="20"/>
              <w:szCs w:val="20"/>
            </w:rPr>
          </w:pPr>
        </w:p>
        <w:p w14:paraId="421984AD" w14:textId="77777777" w:rsidR="00FD6F44" w:rsidRDefault="00FD6F44" w:rsidP="007A2BCF">
          <w:pPr>
            <w:pStyle w:val="NoSpacing"/>
            <w:jc w:val="center"/>
            <w:rPr>
              <w:rFonts w:ascii="Arial" w:hAnsi="Arial" w:cs="Arial"/>
              <w:b/>
              <w:sz w:val="20"/>
              <w:szCs w:val="20"/>
            </w:rPr>
          </w:pPr>
        </w:p>
        <w:p w14:paraId="6803B451" w14:textId="77777777" w:rsidR="00FD6F44" w:rsidRDefault="00FD6F44" w:rsidP="007A2BCF">
          <w:pPr>
            <w:pStyle w:val="NoSpacing"/>
            <w:jc w:val="center"/>
            <w:rPr>
              <w:rFonts w:ascii="Arial" w:hAnsi="Arial" w:cs="Arial"/>
              <w:b/>
              <w:sz w:val="20"/>
              <w:szCs w:val="20"/>
            </w:rPr>
          </w:pPr>
        </w:p>
        <w:p w14:paraId="71296E99" w14:textId="77777777" w:rsidR="00FD6F44" w:rsidRDefault="00FD6F44" w:rsidP="007A2BCF">
          <w:pPr>
            <w:pStyle w:val="NoSpacing"/>
            <w:jc w:val="center"/>
            <w:rPr>
              <w:rFonts w:ascii="Arial" w:hAnsi="Arial" w:cs="Arial"/>
              <w:b/>
              <w:sz w:val="20"/>
              <w:szCs w:val="20"/>
            </w:rPr>
          </w:pPr>
        </w:p>
        <w:p w14:paraId="5D84E85A" w14:textId="77777777" w:rsidR="00FD6F44" w:rsidRDefault="00FD6F44" w:rsidP="007A2BCF">
          <w:pPr>
            <w:pStyle w:val="NoSpacing"/>
            <w:jc w:val="center"/>
            <w:rPr>
              <w:rFonts w:ascii="Arial" w:hAnsi="Arial" w:cs="Arial"/>
              <w:b/>
              <w:sz w:val="20"/>
              <w:szCs w:val="20"/>
            </w:rPr>
          </w:pPr>
        </w:p>
        <w:p w14:paraId="4ED2BFCD" w14:textId="77777777" w:rsidR="00FD6F44" w:rsidRDefault="00FD6F44" w:rsidP="007A2BCF">
          <w:pPr>
            <w:pStyle w:val="NoSpacing"/>
            <w:jc w:val="center"/>
            <w:rPr>
              <w:rFonts w:ascii="Arial" w:hAnsi="Arial" w:cs="Arial"/>
              <w:b/>
              <w:sz w:val="20"/>
              <w:szCs w:val="20"/>
            </w:rPr>
          </w:pPr>
        </w:p>
        <w:p w14:paraId="06150606" w14:textId="77777777" w:rsidR="00FD6F44" w:rsidRDefault="00FD6F44" w:rsidP="007A2BCF">
          <w:pPr>
            <w:pStyle w:val="NoSpacing"/>
            <w:jc w:val="center"/>
            <w:rPr>
              <w:rFonts w:ascii="Arial" w:hAnsi="Arial" w:cs="Arial"/>
              <w:b/>
              <w:sz w:val="20"/>
              <w:szCs w:val="20"/>
            </w:rPr>
          </w:pPr>
        </w:p>
        <w:p w14:paraId="6F94D2E4" w14:textId="77777777" w:rsidR="00FD6F44" w:rsidRDefault="00FD6F44" w:rsidP="007A2BCF">
          <w:pPr>
            <w:pStyle w:val="NoSpacing"/>
            <w:jc w:val="center"/>
            <w:rPr>
              <w:rFonts w:ascii="Arial" w:hAnsi="Arial" w:cs="Arial"/>
              <w:b/>
              <w:sz w:val="20"/>
              <w:szCs w:val="20"/>
            </w:rPr>
          </w:pPr>
        </w:p>
        <w:p w14:paraId="3B6B764E" w14:textId="77777777" w:rsidR="00FD6F44" w:rsidRDefault="00FD6F44" w:rsidP="007A2BCF">
          <w:pPr>
            <w:pStyle w:val="NoSpacing"/>
            <w:jc w:val="center"/>
            <w:rPr>
              <w:rFonts w:ascii="Arial" w:hAnsi="Arial" w:cs="Arial"/>
              <w:b/>
              <w:sz w:val="20"/>
              <w:szCs w:val="20"/>
            </w:rPr>
          </w:pPr>
        </w:p>
        <w:p w14:paraId="24A66362" w14:textId="77777777" w:rsidR="00FD6F44" w:rsidRDefault="00FD6F44" w:rsidP="007A2BCF">
          <w:pPr>
            <w:pStyle w:val="NoSpacing"/>
            <w:jc w:val="center"/>
            <w:rPr>
              <w:rFonts w:ascii="Arial" w:hAnsi="Arial" w:cs="Arial"/>
              <w:b/>
              <w:sz w:val="20"/>
              <w:szCs w:val="20"/>
            </w:rPr>
          </w:pPr>
        </w:p>
        <w:p w14:paraId="1E3F604C" w14:textId="77777777" w:rsidR="00FD6F44" w:rsidRDefault="00FD6F44" w:rsidP="007A2BCF">
          <w:pPr>
            <w:pStyle w:val="NoSpacing"/>
            <w:jc w:val="center"/>
            <w:rPr>
              <w:rFonts w:ascii="Arial" w:hAnsi="Arial" w:cs="Arial"/>
              <w:b/>
              <w:sz w:val="20"/>
              <w:szCs w:val="20"/>
            </w:rPr>
          </w:pPr>
        </w:p>
        <w:p w14:paraId="005E1835" w14:textId="77777777" w:rsidR="00FD6F44" w:rsidRDefault="00FD6F44" w:rsidP="007A2BCF">
          <w:pPr>
            <w:pStyle w:val="NoSpacing"/>
            <w:jc w:val="center"/>
            <w:rPr>
              <w:rFonts w:ascii="Arial" w:hAnsi="Arial" w:cs="Arial"/>
              <w:b/>
              <w:sz w:val="20"/>
              <w:szCs w:val="20"/>
            </w:rPr>
          </w:pPr>
        </w:p>
        <w:p w14:paraId="34D35F81" w14:textId="77777777" w:rsidR="00FD6F44" w:rsidRDefault="00FD6F44" w:rsidP="007A2BCF">
          <w:pPr>
            <w:pStyle w:val="NoSpacing"/>
            <w:jc w:val="center"/>
            <w:rPr>
              <w:rFonts w:ascii="Arial" w:hAnsi="Arial" w:cs="Arial"/>
              <w:b/>
              <w:sz w:val="20"/>
              <w:szCs w:val="20"/>
            </w:rPr>
          </w:pPr>
        </w:p>
        <w:p w14:paraId="2C039ED3" w14:textId="77777777" w:rsidR="00FD6F44" w:rsidRDefault="00FD6F44" w:rsidP="007A2BCF">
          <w:pPr>
            <w:pStyle w:val="NoSpacing"/>
            <w:jc w:val="center"/>
            <w:rPr>
              <w:rFonts w:ascii="Arial" w:hAnsi="Arial" w:cs="Arial"/>
              <w:b/>
              <w:sz w:val="20"/>
              <w:szCs w:val="20"/>
            </w:rPr>
          </w:pPr>
        </w:p>
        <w:p w14:paraId="21F0C70A" w14:textId="77777777" w:rsidR="00FD6F44" w:rsidRPr="009D4FE2" w:rsidRDefault="00FD6F44" w:rsidP="007A2BCF">
          <w:pPr>
            <w:pStyle w:val="NoSpacing"/>
            <w:rPr>
              <w:rFonts w:ascii="Arial" w:hAnsi="Arial" w:cs="Arial"/>
              <w:b/>
              <w:sz w:val="20"/>
              <w:szCs w:val="20"/>
            </w:rPr>
          </w:pPr>
        </w:p>
      </w:tc>
      <w:tc>
        <w:tcPr>
          <w:tcW w:w="2742" w:type="dxa"/>
          <w:tcBorders>
            <w:top w:val="single" w:sz="12" w:space="0" w:color="auto"/>
            <w:left w:val="single" w:sz="8" w:space="0" w:color="auto"/>
            <w:bottom w:val="single" w:sz="12" w:space="0" w:color="auto"/>
            <w:right w:val="thinThickSmallGap" w:sz="24" w:space="0" w:color="auto"/>
          </w:tcBorders>
        </w:tcPr>
        <w:p w14:paraId="2D10A1ED" w14:textId="77777777" w:rsidR="00FD6F44" w:rsidRPr="007D0710" w:rsidRDefault="00FD6F44" w:rsidP="007A2BCF">
          <w:pPr>
            <w:pStyle w:val="NoSpacing"/>
            <w:rPr>
              <w:rFonts w:ascii="Arial" w:hAnsi="Arial" w:cs="Arial"/>
              <w:sz w:val="20"/>
              <w:szCs w:val="20"/>
            </w:rPr>
          </w:pPr>
          <w:r w:rsidRPr="007D0710">
            <w:rPr>
              <w:rFonts w:ascii="Arial" w:hAnsi="Arial" w:cs="Arial"/>
              <w:sz w:val="20"/>
              <w:szCs w:val="20"/>
            </w:rPr>
            <w:t>Practitioners in clinical social work recognize the importance of the therapeutic relationship, the person-­</w:t>
          </w:r>
          <w:r w:rsidRPr="007D0710">
            <w:rPr>
              <w:rFonts w:ascii="Cambria Math" w:hAnsi="Cambria Math" w:cs="Cambria Math"/>
              <w:sz w:val="20"/>
              <w:szCs w:val="20"/>
            </w:rPr>
            <w:t>‐</w:t>
          </w:r>
          <w:r w:rsidRPr="007D0710">
            <w:rPr>
              <w:rFonts w:ascii="Arial" w:hAnsi="Arial" w:cs="Arial"/>
              <w:sz w:val="20"/>
              <w:szCs w:val="20"/>
            </w:rPr>
            <w:t xml:space="preserve">in-­environment and the strengths perspectives, the professional use of self with clients, and adherence to ethical guidelines of professional behavior. </w:t>
          </w:r>
        </w:p>
        <w:p w14:paraId="7220CC06" w14:textId="77777777" w:rsidR="00FD6F44" w:rsidRPr="007D0710" w:rsidRDefault="00FD6F44" w:rsidP="007A2BCF">
          <w:pPr>
            <w:pStyle w:val="NoSpacing"/>
            <w:rPr>
              <w:rFonts w:ascii="Arial" w:hAnsi="Arial" w:cs="Arial"/>
              <w:sz w:val="20"/>
              <w:szCs w:val="20"/>
            </w:rPr>
          </w:pPr>
        </w:p>
        <w:p w14:paraId="6F3FF498" w14:textId="77777777" w:rsidR="00FD6F44" w:rsidRPr="007D0710" w:rsidRDefault="00FD6F44" w:rsidP="007A2BCF">
          <w:pPr>
            <w:pStyle w:val="NoSpacing"/>
            <w:rPr>
              <w:rFonts w:ascii="Arial" w:hAnsi="Arial" w:cs="Arial"/>
              <w:sz w:val="16"/>
              <w:szCs w:val="16"/>
            </w:rPr>
          </w:pPr>
        </w:p>
      </w:tc>
      <w:tc>
        <w:tcPr>
          <w:tcW w:w="1080" w:type="dxa"/>
          <w:tcBorders>
            <w:top w:val="single" w:sz="12" w:space="0" w:color="auto"/>
            <w:left w:val="thinThickSmallGap" w:sz="24" w:space="0" w:color="auto"/>
            <w:bottom w:val="single" w:sz="12" w:space="0" w:color="auto"/>
            <w:right w:val="single" w:sz="8" w:space="0" w:color="auto"/>
          </w:tcBorders>
        </w:tcPr>
        <w:p w14:paraId="03975326" w14:textId="77777777" w:rsidR="00FD6F44" w:rsidRDefault="00FD6F44" w:rsidP="007A2BCF">
          <w:pPr>
            <w:pStyle w:val="NoSpacing"/>
            <w:rPr>
              <w:rFonts w:ascii="Arial" w:hAnsi="Arial" w:cs="Arial"/>
              <w:sz w:val="20"/>
              <w:szCs w:val="20"/>
            </w:rPr>
          </w:pPr>
        </w:p>
        <w:p w14:paraId="5F5D89E2" w14:textId="77777777" w:rsidR="00FD6F44" w:rsidRDefault="00FD6F44" w:rsidP="007A2BCF">
          <w:pPr>
            <w:pStyle w:val="NoSpacing"/>
            <w:rPr>
              <w:rFonts w:ascii="Arial" w:hAnsi="Arial" w:cs="Arial"/>
              <w:sz w:val="20"/>
              <w:szCs w:val="20"/>
            </w:rPr>
          </w:pPr>
          <w:r>
            <w:rPr>
              <w:rFonts w:ascii="Arial" w:hAnsi="Arial" w:cs="Arial"/>
              <w:sz w:val="20"/>
              <w:szCs w:val="20"/>
            </w:rPr>
            <w:t>603:  Methods of Clinical Social Work</w:t>
          </w:r>
        </w:p>
        <w:p w14:paraId="227F7BF8" w14:textId="77777777" w:rsidR="00FD6F44" w:rsidRDefault="00FD6F44" w:rsidP="007A2BCF">
          <w:pPr>
            <w:pStyle w:val="NoSpacing"/>
            <w:rPr>
              <w:rFonts w:ascii="Arial" w:hAnsi="Arial" w:cs="Arial"/>
              <w:sz w:val="20"/>
              <w:szCs w:val="20"/>
            </w:rPr>
          </w:pPr>
        </w:p>
        <w:p w14:paraId="0FC39CE8" w14:textId="77777777" w:rsidR="00FD6F44" w:rsidRDefault="00FD6F44" w:rsidP="007A2BCF">
          <w:pPr>
            <w:pStyle w:val="NoSpacing"/>
            <w:rPr>
              <w:rFonts w:ascii="Arial" w:hAnsi="Arial" w:cs="Arial"/>
              <w:sz w:val="20"/>
              <w:szCs w:val="20"/>
            </w:rPr>
          </w:pPr>
        </w:p>
        <w:p w14:paraId="5E673284" w14:textId="77777777" w:rsidR="00FD6F44" w:rsidRDefault="00FD6F44" w:rsidP="007A2BCF">
          <w:pPr>
            <w:pStyle w:val="NoSpacing"/>
            <w:rPr>
              <w:rFonts w:ascii="Arial" w:hAnsi="Arial" w:cs="Arial"/>
              <w:sz w:val="20"/>
              <w:szCs w:val="20"/>
            </w:rPr>
          </w:pPr>
        </w:p>
        <w:p w14:paraId="3809E1AC" w14:textId="77777777" w:rsidR="00FD6F44" w:rsidRDefault="00FD6F44" w:rsidP="007A2BCF">
          <w:pPr>
            <w:pStyle w:val="NoSpacing"/>
            <w:rPr>
              <w:rFonts w:ascii="Arial" w:hAnsi="Arial" w:cs="Arial"/>
              <w:sz w:val="20"/>
              <w:szCs w:val="20"/>
            </w:rPr>
          </w:pPr>
        </w:p>
        <w:p w14:paraId="6E2356A7" w14:textId="77777777" w:rsidR="00FD6F44" w:rsidRDefault="00FD6F44" w:rsidP="007A2BCF">
          <w:pPr>
            <w:pStyle w:val="NoSpacing"/>
            <w:rPr>
              <w:rFonts w:ascii="Arial" w:hAnsi="Arial" w:cs="Arial"/>
              <w:sz w:val="20"/>
              <w:szCs w:val="20"/>
            </w:rPr>
          </w:pPr>
        </w:p>
        <w:p w14:paraId="5CC03655" w14:textId="77777777" w:rsidR="00FD6F44" w:rsidRDefault="00FD6F44" w:rsidP="007A2BCF">
          <w:pPr>
            <w:pStyle w:val="NoSpacing"/>
            <w:rPr>
              <w:rFonts w:ascii="Arial" w:hAnsi="Arial" w:cs="Arial"/>
              <w:sz w:val="20"/>
              <w:szCs w:val="20"/>
            </w:rPr>
          </w:pPr>
        </w:p>
        <w:p w14:paraId="54F149D9" w14:textId="77777777" w:rsidR="00FD6F44" w:rsidRDefault="00FD6F44" w:rsidP="007A2BCF">
          <w:pPr>
            <w:pStyle w:val="NoSpacing"/>
            <w:rPr>
              <w:rFonts w:ascii="Arial" w:hAnsi="Arial" w:cs="Arial"/>
              <w:sz w:val="20"/>
              <w:szCs w:val="20"/>
            </w:rPr>
          </w:pPr>
        </w:p>
        <w:p w14:paraId="47AAE40C" w14:textId="77777777" w:rsidR="00FD6F44" w:rsidRPr="009D4FE2" w:rsidRDefault="00FD6F44" w:rsidP="007A2BCF">
          <w:pPr>
            <w:pStyle w:val="NoSpacing"/>
            <w:rPr>
              <w:rFonts w:ascii="Arial" w:hAnsi="Arial" w:cs="Arial"/>
              <w:sz w:val="20"/>
              <w:szCs w:val="20"/>
            </w:rPr>
          </w:pPr>
        </w:p>
      </w:tc>
      <w:tc>
        <w:tcPr>
          <w:tcW w:w="1350" w:type="dxa"/>
          <w:tcBorders>
            <w:top w:val="single" w:sz="12" w:space="0" w:color="auto"/>
            <w:left w:val="single" w:sz="8" w:space="0" w:color="auto"/>
            <w:bottom w:val="single" w:sz="12" w:space="0" w:color="auto"/>
            <w:right w:val="single" w:sz="8" w:space="0" w:color="auto"/>
          </w:tcBorders>
        </w:tcPr>
        <w:p w14:paraId="01FB6E84" w14:textId="77777777" w:rsidR="00FD6F44" w:rsidRDefault="00FD6F44" w:rsidP="007A2BCF">
          <w:pPr>
            <w:pStyle w:val="NoSpacing"/>
            <w:rPr>
              <w:rFonts w:ascii="Arial" w:hAnsi="Arial" w:cs="Arial"/>
              <w:sz w:val="20"/>
              <w:szCs w:val="20"/>
            </w:rPr>
          </w:pPr>
        </w:p>
        <w:p w14:paraId="25CB5C60" w14:textId="77777777" w:rsidR="00FD6F44" w:rsidRDefault="00FD6F44" w:rsidP="007A2BCF">
          <w:pPr>
            <w:pStyle w:val="NoSpacing"/>
            <w:rPr>
              <w:rFonts w:ascii="Arial" w:hAnsi="Arial" w:cs="Arial"/>
              <w:sz w:val="20"/>
              <w:szCs w:val="20"/>
            </w:rPr>
          </w:pPr>
        </w:p>
        <w:p w14:paraId="05A39EFB" w14:textId="77777777" w:rsidR="00FD6F44" w:rsidRDefault="00FD6F44" w:rsidP="007A2BCF">
          <w:pPr>
            <w:pStyle w:val="NoSpacing"/>
            <w:rPr>
              <w:rFonts w:ascii="Arial" w:hAnsi="Arial" w:cs="Arial"/>
              <w:sz w:val="20"/>
              <w:szCs w:val="20"/>
            </w:rPr>
          </w:pPr>
        </w:p>
        <w:p w14:paraId="7116ADF7" w14:textId="77777777" w:rsidR="00FD6F44" w:rsidRDefault="00FD6F44" w:rsidP="007A2BCF">
          <w:pPr>
            <w:pStyle w:val="NoSpacing"/>
            <w:rPr>
              <w:rFonts w:ascii="Arial" w:hAnsi="Arial" w:cs="Arial"/>
              <w:sz w:val="20"/>
              <w:szCs w:val="20"/>
            </w:rPr>
          </w:pPr>
          <w:r>
            <w:rPr>
              <w:rFonts w:ascii="Arial" w:hAnsi="Arial" w:cs="Arial"/>
              <w:sz w:val="20"/>
              <w:szCs w:val="20"/>
            </w:rPr>
            <w:t>1,2,4</w:t>
          </w:r>
        </w:p>
        <w:p w14:paraId="0E1CD212" w14:textId="77777777" w:rsidR="00FD6F44" w:rsidRDefault="00FD6F44" w:rsidP="007A2BCF">
          <w:pPr>
            <w:pStyle w:val="NoSpacing"/>
            <w:rPr>
              <w:rFonts w:ascii="Arial" w:hAnsi="Arial" w:cs="Arial"/>
              <w:sz w:val="20"/>
              <w:szCs w:val="20"/>
            </w:rPr>
          </w:pPr>
        </w:p>
        <w:p w14:paraId="02B3C167" w14:textId="77777777" w:rsidR="00FD6F44" w:rsidRDefault="00FD6F44" w:rsidP="007A2BCF">
          <w:pPr>
            <w:pStyle w:val="NoSpacing"/>
            <w:rPr>
              <w:rFonts w:ascii="Arial" w:hAnsi="Arial" w:cs="Arial"/>
              <w:sz w:val="20"/>
              <w:szCs w:val="20"/>
            </w:rPr>
          </w:pPr>
        </w:p>
        <w:p w14:paraId="450F3D1F" w14:textId="77777777" w:rsidR="00FD6F44" w:rsidRDefault="00FD6F44" w:rsidP="007A2BCF">
          <w:pPr>
            <w:pStyle w:val="NoSpacing"/>
            <w:rPr>
              <w:rFonts w:ascii="Arial" w:hAnsi="Arial" w:cs="Arial"/>
              <w:sz w:val="20"/>
              <w:szCs w:val="20"/>
            </w:rPr>
          </w:pPr>
        </w:p>
        <w:p w14:paraId="74A8AAA6" w14:textId="77777777" w:rsidR="00FD6F44" w:rsidRDefault="00FD6F44" w:rsidP="007A2BCF">
          <w:pPr>
            <w:pStyle w:val="NoSpacing"/>
            <w:rPr>
              <w:rFonts w:ascii="Arial" w:hAnsi="Arial" w:cs="Arial"/>
              <w:sz w:val="20"/>
              <w:szCs w:val="20"/>
            </w:rPr>
          </w:pPr>
        </w:p>
        <w:p w14:paraId="05A791BA" w14:textId="77777777" w:rsidR="00FD6F44" w:rsidRDefault="00FD6F44" w:rsidP="007A2BCF">
          <w:pPr>
            <w:pStyle w:val="NoSpacing"/>
            <w:rPr>
              <w:rFonts w:ascii="Arial" w:hAnsi="Arial" w:cs="Arial"/>
              <w:sz w:val="20"/>
              <w:szCs w:val="20"/>
            </w:rPr>
          </w:pPr>
        </w:p>
        <w:p w14:paraId="088E43F2" w14:textId="77777777" w:rsidR="00FD6F44" w:rsidRPr="009D4FE2" w:rsidRDefault="00FD6F44" w:rsidP="007A2BCF">
          <w:pPr>
            <w:pStyle w:val="NoSpacing"/>
            <w:rPr>
              <w:rFonts w:ascii="Arial" w:hAnsi="Arial" w:cs="Arial"/>
              <w:sz w:val="20"/>
              <w:szCs w:val="20"/>
            </w:rPr>
          </w:pPr>
        </w:p>
      </w:tc>
      <w:tc>
        <w:tcPr>
          <w:tcW w:w="1212" w:type="dxa"/>
          <w:tcBorders>
            <w:top w:val="single" w:sz="12" w:space="0" w:color="auto"/>
            <w:left w:val="single" w:sz="8" w:space="0" w:color="auto"/>
            <w:bottom w:val="single" w:sz="12" w:space="0" w:color="auto"/>
            <w:right w:val="single" w:sz="8" w:space="0" w:color="auto"/>
          </w:tcBorders>
        </w:tcPr>
        <w:p w14:paraId="54D1574E" w14:textId="77777777" w:rsidR="00FD6F44" w:rsidRDefault="00FD6F44" w:rsidP="007A2BCF">
          <w:pPr>
            <w:pStyle w:val="NoSpacing"/>
            <w:rPr>
              <w:rFonts w:ascii="Arial" w:hAnsi="Arial" w:cs="Arial"/>
              <w:sz w:val="20"/>
              <w:szCs w:val="20"/>
            </w:rPr>
          </w:pPr>
        </w:p>
        <w:p w14:paraId="7E0F349B" w14:textId="77777777" w:rsidR="00FD6F44" w:rsidRDefault="00FD6F44" w:rsidP="007A2BCF">
          <w:pPr>
            <w:pStyle w:val="NoSpacing"/>
            <w:rPr>
              <w:rFonts w:ascii="Arial" w:hAnsi="Arial" w:cs="Arial"/>
              <w:sz w:val="20"/>
              <w:szCs w:val="20"/>
            </w:rPr>
          </w:pPr>
        </w:p>
        <w:p w14:paraId="28622661" w14:textId="77777777" w:rsidR="00FD6F44" w:rsidRDefault="00FD6F44" w:rsidP="007A2BCF">
          <w:pPr>
            <w:pStyle w:val="NoSpacing"/>
            <w:rPr>
              <w:rFonts w:ascii="Arial" w:hAnsi="Arial" w:cs="Arial"/>
              <w:sz w:val="20"/>
              <w:szCs w:val="20"/>
            </w:rPr>
          </w:pPr>
        </w:p>
        <w:p w14:paraId="58672BAE" w14:textId="77777777" w:rsidR="00FD6F44" w:rsidRDefault="00FD6F44" w:rsidP="007A2BCF">
          <w:pPr>
            <w:pStyle w:val="NoSpacing"/>
            <w:rPr>
              <w:rFonts w:ascii="Arial" w:hAnsi="Arial" w:cs="Arial"/>
              <w:sz w:val="20"/>
              <w:szCs w:val="20"/>
            </w:rPr>
          </w:pPr>
          <w:r>
            <w:rPr>
              <w:rFonts w:ascii="Arial" w:hAnsi="Arial" w:cs="Arial"/>
              <w:sz w:val="20"/>
              <w:szCs w:val="20"/>
            </w:rPr>
            <w:t>1,3</w:t>
          </w:r>
        </w:p>
        <w:p w14:paraId="0903A741" w14:textId="77777777" w:rsidR="00FD6F44" w:rsidRDefault="00FD6F44" w:rsidP="007A2BCF">
          <w:pPr>
            <w:pStyle w:val="NoSpacing"/>
            <w:rPr>
              <w:rFonts w:ascii="Arial" w:hAnsi="Arial" w:cs="Arial"/>
              <w:sz w:val="20"/>
              <w:szCs w:val="20"/>
            </w:rPr>
          </w:pPr>
        </w:p>
        <w:p w14:paraId="6C341172" w14:textId="77777777" w:rsidR="00FD6F44" w:rsidRDefault="00FD6F44" w:rsidP="007A2BCF">
          <w:pPr>
            <w:pStyle w:val="NoSpacing"/>
            <w:rPr>
              <w:rFonts w:ascii="Arial" w:hAnsi="Arial" w:cs="Arial"/>
              <w:sz w:val="20"/>
              <w:szCs w:val="20"/>
            </w:rPr>
          </w:pPr>
        </w:p>
        <w:p w14:paraId="248E4265" w14:textId="77777777" w:rsidR="00FD6F44" w:rsidRDefault="00FD6F44" w:rsidP="007A2BCF">
          <w:pPr>
            <w:pStyle w:val="NoSpacing"/>
            <w:rPr>
              <w:rFonts w:ascii="Arial" w:hAnsi="Arial" w:cs="Arial"/>
              <w:sz w:val="20"/>
              <w:szCs w:val="20"/>
            </w:rPr>
          </w:pPr>
        </w:p>
        <w:p w14:paraId="0095D976" w14:textId="77777777" w:rsidR="00FD6F44" w:rsidRDefault="00FD6F44" w:rsidP="007A2BCF">
          <w:pPr>
            <w:pStyle w:val="NoSpacing"/>
            <w:rPr>
              <w:rFonts w:ascii="Arial" w:hAnsi="Arial" w:cs="Arial"/>
              <w:sz w:val="20"/>
              <w:szCs w:val="20"/>
            </w:rPr>
          </w:pPr>
        </w:p>
        <w:p w14:paraId="0FC44343" w14:textId="77777777" w:rsidR="00FD6F44" w:rsidRDefault="00FD6F44" w:rsidP="007A2BCF">
          <w:pPr>
            <w:pStyle w:val="NoSpacing"/>
            <w:rPr>
              <w:rFonts w:ascii="Arial" w:hAnsi="Arial" w:cs="Arial"/>
              <w:sz w:val="20"/>
              <w:szCs w:val="20"/>
            </w:rPr>
          </w:pPr>
        </w:p>
        <w:p w14:paraId="77550813" w14:textId="77777777" w:rsidR="00FD6F44" w:rsidRPr="009D4FE2" w:rsidRDefault="00FD6F44" w:rsidP="007A2BCF">
          <w:pPr>
            <w:pStyle w:val="NoSpacing"/>
            <w:rPr>
              <w:rFonts w:ascii="Arial" w:hAnsi="Arial" w:cs="Arial"/>
              <w:sz w:val="20"/>
              <w:szCs w:val="20"/>
            </w:rPr>
          </w:pPr>
        </w:p>
      </w:tc>
      <w:tc>
        <w:tcPr>
          <w:tcW w:w="1596" w:type="dxa"/>
          <w:tcBorders>
            <w:top w:val="single" w:sz="12" w:space="0" w:color="auto"/>
            <w:left w:val="single" w:sz="8" w:space="0" w:color="auto"/>
            <w:bottom w:val="single" w:sz="12" w:space="0" w:color="auto"/>
          </w:tcBorders>
        </w:tcPr>
        <w:p w14:paraId="1423C916" w14:textId="77777777" w:rsidR="00FD6F44" w:rsidRDefault="00FD6F44" w:rsidP="007A2BCF">
          <w:pPr>
            <w:pStyle w:val="NoSpacing"/>
            <w:rPr>
              <w:rFonts w:ascii="Arial" w:hAnsi="Arial" w:cs="Arial"/>
              <w:sz w:val="20"/>
              <w:szCs w:val="20"/>
            </w:rPr>
          </w:pPr>
          <w:r w:rsidRPr="003C6020">
            <w:rPr>
              <w:rFonts w:ascii="Arial" w:hAnsi="Arial" w:cs="Arial"/>
              <w:sz w:val="20"/>
              <w:szCs w:val="20"/>
            </w:rPr>
            <w:t xml:space="preserve">Students read about and discuss ethical decision-making (e.g. </w:t>
          </w:r>
          <w:proofErr w:type="spellStart"/>
          <w:r w:rsidRPr="003C6020">
            <w:rPr>
              <w:rFonts w:ascii="Arial" w:hAnsi="Arial" w:cs="Arial"/>
              <w:sz w:val="20"/>
              <w:szCs w:val="20"/>
            </w:rPr>
            <w:t>Luepker</w:t>
          </w:r>
          <w:proofErr w:type="spellEnd"/>
          <w:r w:rsidRPr="003C6020">
            <w:rPr>
              <w:rFonts w:ascii="Arial" w:hAnsi="Arial" w:cs="Arial"/>
              <w:sz w:val="20"/>
              <w:szCs w:val="20"/>
            </w:rPr>
            <w:t>; Cooper &amp; Lesser).</w:t>
          </w:r>
          <w:r>
            <w:rPr>
              <w:rFonts w:ascii="Arial" w:hAnsi="Arial" w:cs="Arial"/>
              <w:sz w:val="20"/>
              <w:szCs w:val="20"/>
            </w:rPr>
            <w:t xml:space="preserve">  (Knowledge and Values)</w:t>
          </w:r>
        </w:p>
        <w:p w14:paraId="3BE61CBF" w14:textId="77777777" w:rsidR="00FD6F44" w:rsidRDefault="00FD6F44" w:rsidP="007A2BCF">
          <w:pPr>
            <w:pStyle w:val="NoSpacing"/>
            <w:rPr>
              <w:rFonts w:ascii="Arial" w:hAnsi="Arial" w:cs="Arial"/>
              <w:sz w:val="20"/>
              <w:szCs w:val="20"/>
            </w:rPr>
          </w:pPr>
        </w:p>
        <w:p w14:paraId="05E9975E" w14:textId="77777777" w:rsidR="00FD6F44" w:rsidRDefault="00FD6F44" w:rsidP="007A2BCF">
          <w:pPr>
            <w:pStyle w:val="NoSpacing"/>
            <w:rPr>
              <w:rFonts w:ascii="Arial" w:hAnsi="Arial" w:cs="Arial"/>
              <w:sz w:val="20"/>
              <w:szCs w:val="20"/>
            </w:rPr>
          </w:pPr>
        </w:p>
        <w:p w14:paraId="6D60ABAA" w14:textId="77777777" w:rsidR="00FD6F44" w:rsidRDefault="00FD6F44" w:rsidP="007A2BCF">
          <w:pPr>
            <w:pStyle w:val="NoSpacing"/>
            <w:rPr>
              <w:rFonts w:ascii="Arial" w:hAnsi="Arial" w:cs="Arial"/>
              <w:sz w:val="20"/>
              <w:szCs w:val="20"/>
            </w:rPr>
          </w:pPr>
          <w:r w:rsidRPr="003C6020">
            <w:rPr>
              <w:rFonts w:ascii="Arial" w:hAnsi="Arial" w:cs="Arial"/>
              <w:sz w:val="20"/>
              <w:szCs w:val="20"/>
            </w:rPr>
            <w:t>Assessment and Treatment Planning assignment requires students to address ethical concerns</w:t>
          </w:r>
          <w:r>
            <w:rPr>
              <w:rFonts w:ascii="Arial" w:hAnsi="Arial" w:cs="Arial"/>
              <w:sz w:val="20"/>
              <w:szCs w:val="20"/>
            </w:rPr>
            <w:t xml:space="preserve"> (Skills)</w:t>
          </w:r>
        </w:p>
        <w:p w14:paraId="30A693A4" w14:textId="77777777" w:rsidR="00FD6F44" w:rsidRPr="009D4FE2" w:rsidRDefault="00FD6F44" w:rsidP="007A2BCF">
          <w:pPr>
            <w:pStyle w:val="NoSpacing"/>
            <w:rPr>
              <w:rFonts w:ascii="Arial" w:hAnsi="Arial" w:cs="Arial"/>
              <w:sz w:val="20"/>
              <w:szCs w:val="20"/>
            </w:rPr>
          </w:pPr>
        </w:p>
      </w:tc>
    </w:tr>
    <w:tr w:rsidR="00FD6F44" w14:paraId="54C2A897" w14:textId="77777777" w:rsidTr="00E35756">
      <w:tc>
        <w:tcPr>
          <w:tcW w:w="1596" w:type="dxa"/>
          <w:tcBorders>
            <w:top w:val="single" w:sz="12" w:space="0" w:color="auto"/>
            <w:right w:val="single" w:sz="8" w:space="0" w:color="auto"/>
          </w:tcBorders>
        </w:tcPr>
        <w:p w14:paraId="5F92E5C9" w14:textId="77777777" w:rsidR="00FD6F44" w:rsidRDefault="00FD6F44" w:rsidP="007A2BCF">
          <w:pPr>
            <w:pStyle w:val="NoSpacing"/>
            <w:jc w:val="center"/>
            <w:rPr>
              <w:rFonts w:ascii="Arial" w:hAnsi="Arial" w:cs="Arial"/>
              <w:b/>
              <w:sz w:val="20"/>
              <w:szCs w:val="20"/>
            </w:rPr>
          </w:pPr>
          <w:r>
            <w:rPr>
              <w:rFonts w:ascii="Arial" w:hAnsi="Arial" w:cs="Arial"/>
              <w:b/>
              <w:sz w:val="20"/>
              <w:szCs w:val="20"/>
            </w:rPr>
            <w:t>2:  Engage diversity and difference in practice</w:t>
          </w:r>
        </w:p>
      </w:tc>
      <w:tc>
        <w:tcPr>
          <w:tcW w:w="2742" w:type="dxa"/>
          <w:tcBorders>
            <w:top w:val="single" w:sz="12" w:space="0" w:color="auto"/>
            <w:left w:val="single" w:sz="8" w:space="0" w:color="auto"/>
            <w:bottom w:val="single" w:sz="12" w:space="0" w:color="auto"/>
            <w:right w:val="thinThickSmallGap" w:sz="24" w:space="0" w:color="auto"/>
          </w:tcBorders>
        </w:tcPr>
        <w:p w14:paraId="21862A03" w14:textId="77777777" w:rsidR="00FD6F44" w:rsidRPr="00207F23" w:rsidRDefault="00FD6F44" w:rsidP="007A2BCF">
          <w:pPr>
            <w:pStyle w:val="NoSpacing"/>
            <w:rPr>
              <w:rFonts w:ascii="Arial" w:hAnsi="Arial" w:cs="Arial"/>
              <w:sz w:val="20"/>
              <w:szCs w:val="20"/>
            </w:rPr>
          </w:pPr>
          <w:r>
            <w:rPr>
              <w:rFonts w:ascii="Arial" w:hAnsi="Arial" w:cs="Arial"/>
              <w:sz w:val="20"/>
              <w:szCs w:val="20"/>
            </w:rPr>
            <w:t>P</w:t>
          </w:r>
          <w:r w:rsidRPr="00207F23">
            <w:rPr>
              <w:rFonts w:ascii="Arial" w:hAnsi="Arial" w:cs="Arial"/>
              <w:sz w:val="20"/>
              <w:szCs w:val="20"/>
            </w:rPr>
            <w:t xml:space="preserve">ractitioners </w:t>
          </w:r>
          <w:r>
            <w:rPr>
              <w:rFonts w:ascii="Arial" w:hAnsi="Arial" w:cs="Arial"/>
              <w:sz w:val="20"/>
              <w:szCs w:val="20"/>
            </w:rPr>
            <w:t xml:space="preserve">in clinical social work </w:t>
          </w:r>
          <w:r w:rsidRPr="00207F23">
            <w:rPr>
              <w:rFonts w:ascii="Arial" w:hAnsi="Arial" w:cs="Arial"/>
              <w:sz w:val="20"/>
              <w:szCs w:val="20"/>
            </w:rPr>
            <w:t xml:space="preserve">are knowledgeable about many forms of diversity and difference and how </w:t>
          </w:r>
          <w:proofErr w:type="gramStart"/>
          <w:r w:rsidRPr="00207F23">
            <w:rPr>
              <w:rFonts w:ascii="Arial" w:hAnsi="Arial" w:cs="Arial"/>
              <w:sz w:val="20"/>
              <w:szCs w:val="20"/>
            </w:rPr>
            <w:t>these influence</w:t>
          </w:r>
          <w:proofErr w:type="gramEnd"/>
          <w:r w:rsidRPr="00207F23">
            <w:rPr>
              <w:rFonts w:ascii="Arial" w:hAnsi="Arial" w:cs="Arial"/>
              <w:sz w:val="20"/>
              <w:szCs w:val="20"/>
            </w:rPr>
            <w:t xml:space="preserve"> the</w:t>
          </w:r>
        </w:p>
        <w:p w14:paraId="330679CD" w14:textId="77777777" w:rsidR="00FD6F44" w:rsidRPr="00207F23" w:rsidRDefault="00FD6F44" w:rsidP="007A2BCF">
          <w:pPr>
            <w:pStyle w:val="NoSpacing"/>
            <w:rPr>
              <w:rFonts w:ascii="Arial" w:hAnsi="Arial" w:cs="Arial"/>
              <w:sz w:val="20"/>
              <w:szCs w:val="20"/>
            </w:rPr>
          </w:pPr>
          <w:r w:rsidRPr="00207F23">
            <w:rPr>
              <w:rFonts w:ascii="Arial" w:hAnsi="Arial" w:cs="Arial"/>
              <w:sz w:val="20"/>
              <w:szCs w:val="20"/>
            </w:rPr>
            <w:t>which various dimensions of diversity affect (a) explanations of illness, (b) help-­</w:t>
          </w:r>
          <w:r w:rsidRPr="00207F23">
            <w:rPr>
              <w:rFonts w:ascii="Cambria Math" w:hAnsi="Cambria Math" w:cs="Cambria Math"/>
              <w:sz w:val="20"/>
              <w:szCs w:val="20"/>
            </w:rPr>
            <w:t>‐</w:t>
          </w:r>
          <w:r w:rsidRPr="00207F23">
            <w:rPr>
              <w:rFonts w:ascii="Arial" w:hAnsi="Arial" w:cs="Arial"/>
              <w:sz w:val="20"/>
              <w:szCs w:val="20"/>
            </w:rPr>
            <w:t>seeking behaviors, and (c) healing</w:t>
          </w:r>
        </w:p>
        <w:p w14:paraId="1A7B769B" w14:textId="77777777" w:rsidR="00FD6F44" w:rsidRPr="00207F23" w:rsidRDefault="00FD6F44" w:rsidP="007A2BCF">
          <w:pPr>
            <w:pStyle w:val="NoSpacing"/>
            <w:rPr>
              <w:rFonts w:ascii="Arial" w:hAnsi="Arial" w:cs="Arial"/>
              <w:sz w:val="20"/>
              <w:szCs w:val="20"/>
            </w:rPr>
          </w:pPr>
          <w:r w:rsidRPr="00207F23">
            <w:rPr>
              <w:rFonts w:ascii="Arial" w:hAnsi="Arial" w:cs="Arial"/>
              <w:sz w:val="20"/>
              <w:szCs w:val="20"/>
            </w:rPr>
            <w:t>practices</w:t>
          </w:r>
          <w:r>
            <w:rPr>
              <w:rFonts w:ascii="Arial" w:hAnsi="Arial" w:cs="Arial"/>
              <w:sz w:val="20"/>
              <w:szCs w:val="20"/>
            </w:rPr>
            <w:t>.  P</w:t>
          </w:r>
          <w:r w:rsidRPr="00207F23">
            <w:rPr>
              <w:rFonts w:ascii="Arial" w:hAnsi="Arial" w:cs="Arial"/>
              <w:sz w:val="20"/>
              <w:szCs w:val="20"/>
            </w:rPr>
            <w:t xml:space="preserve">ractitioners </w:t>
          </w:r>
          <w:r>
            <w:rPr>
              <w:rFonts w:ascii="Arial" w:hAnsi="Arial" w:cs="Arial"/>
              <w:sz w:val="20"/>
              <w:szCs w:val="20"/>
            </w:rPr>
            <w:t xml:space="preserve">in clinical social work </w:t>
          </w:r>
          <w:r w:rsidRPr="00207F23">
            <w:rPr>
              <w:rFonts w:ascii="Arial" w:hAnsi="Arial" w:cs="Arial"/>
              <w:sz w:val="20"/>
              <w:szCs w:val="20"/>
            </w:rPr>
            <w:t>are cultural beings and understand how clinical practice choices can</w:t>
          </w:r>
        </w:p>
        <w:p w14:paraId="0D81D694" w14:textId="77777777" w:rsidR="00FD6F44" w:rsidRPr="007D0710" w:rsidRDefault="00FD6F44" w:rsidP="007A2BCF">
          <w:pPr>
            <w:pStyle w:val="NoSpacing"/>
            <w:rPr>
              <w:rFonts w:ascii="Arial" w:hAnsi="Arial" w:cs="Arial"/>
              <w:sz w:val="20"/>
              <w:szCs w:val="20"/>
            </w:rPr>
          </w:pPr>
          <w:r w:rsidRPr="00207F23">
            <w:rPr>
              <w:rFonts w:ascii="Arial" w:hAnsi="Arial" w:cs="Arial"/>
              <w:sz w:val="20"/>
              <w:szCs w:val="20"/>
            </w:rPr>
            <w:t>be culture-­</w:t>
          </w:r>
          <w:r w:rsidRPr="00207F23">
            <w:rPr>
              <w:rFonts w:ascii="Cambria Math" w:hAnsi="Cambria Math" w:cs="Cambria Math"/>
              <w:sz w:val="20"/>
              <w:szCs w:val="20"/>
            </w:rPr>
            <w:t>‐</w:t>
          </w:r>
          <w:r w:rsidRPr="00207F23">
            <w:rPr>
              <w:rFonts w:ascii="Arial" w:hAnsi="Arial" w:cs="Arial"/>
              <w:sz w:val="20"/>
              <w:szCs w:val="20"/>
            </w:rPr>
            <w:t>bound. Advanced practitioners in clinical social work</w:t>
          </w:r>
        </w:p>
      </w:tc>
      <w:tc>
        <w:tcPr>
          <w:tcW w:w="1080" w:type="dxa"/>
          <w:tcBorders>
            <w:top w:val="single" w:sz="12" w:space="0" w:color="auto"/>
            <w:left w:val="thinThickSmallGap" w:sz="24" w:space="0" w:color="auto"/>
            <w:bottom w:val="single" w:sz="12" w:space="0" w:color="auto"/>
            <w:right w:val="single" w:sz="8" w:space="0" w:color="auto"/>
          </w:tcBorders>
        </w:tcPr>
        <w:p w14:paraId="49119D11" w14:textId="77777777" w:rsidR="00FD6F44" w:rsidRPr="00360FC2" w:rsidRDefault="00FD6F44" w:rsidP="007A2BCF">
          <w:pPr>
            <w:pStyle w:val="NoSpacing"/>
            <w:rPr>
              <w:rFonts w:ascii="Arial" w:hAnsi="Arial" w:cs="Arial"/>
              <w:sz w:val="20"/>
              <w:szCs w:val="20"/>
            </w:rPr>
          </w:pPr>
          <w:r w:rsidRPr="00360FC2">
            <w:rPr>
              <w:rFonts w:ascii="Arial" w:hAnsi="Arial" w:cs="Arial"/>
              <w:sz w:val="20"/>
              <w:szCs w:val="20"/>
            </w:rPr>
            <w:t>603 and 604: Methods of Clinical Social Work</w:t>
          </w:r>
        </w:p>
        <w:p w14:paraId="43C382F2" w14:textId="77777777" w:rsidR="00FD6F44" w:rsidRDefault="00FD6F44" w:rsidP="007A2BCF">
          <w:pPr>
            <w:pStyle w:val="NoSpacing"/>
            <w:rPr>
              <w:rFonts w:ascii="Arial" w:hAnsi="Arial" w:cs="Arial"/>
              <w:sz w:val="20"/>
              <w:szCs w:val="20"/>
            </w:rPr>
          </w:pPr>
          <w:r w:rsidRPr="00360FC2">
            <w:rPr>
              <w:rFonts w:ascii="Arial" w:hAnsi="Arial" w:cs="Arial"/>
              <w:sz w:val="20"/>
              <w:szCs w:val="20"/>
            </w:rPr>
            <w:t>I &amp; II</w:t>
          </w:r>
        </w:p>
      </w:tc>
      <w:tc>
        <w:tcPr>
          <w:tcW w:w="1350" w:type="dxa"/>
          <w:tcBorders>
            <w:top w:val="single" w:sz="12" w:space="0" w:color="auto"/>
            <w:left w:val="single" w:sz="8" w:space="0" w:color="auto"/>
            <w:bottom w:val="single" w:sz="12" w:space="0" w:color="auto"/>
            <w:right w:val="single" w:sz="8" w:space="0" w:color="auto"/>
          </w:tcBorders>
        </w:tcPr>
        <w:p w14:paraId="3E835BBA" w14:textId="77777777" w:rsidR="00FD6F44" w:rsidRDefault="00FD6F44" w:rsidP="007A2BCF">
          <w:pPr>
            <w:pStyle w:val="NoSpacing"/>
            <w:rPr>
              <w:rFonts w:ascii="Arial" w:hAnsi="Arial" w:cs="Arial"/>
              <w:sz w:val="20"/>
              <w:szCs w:val="20"/>
            </w:rPr>
          </w:pPr>
          <w:r>
            <w:rPr>
              <w:rFonts w:ascii="Arial" w:hAnsi="Arial" w:cs="Arial"/>
              <w:sz w:val="20"/>
              <w:szCs w:val="20"/>
            </w:rPr>
            <w:t>1,2,4</w:t>
          </w:r>
        </w:p>
      </w:tc>
      <w:tc>
        <w:tcPr>
          <w:tcW w:w="1212" w:type="dxa"/>
          <w:tcBorders>
            <w:top w:val="single" w:sz="12" w:space="0" w:color="auto"/>
            <w:left w:val="single" w:sz="8" w:space="0" w:color="auto"/>
            <w:bottom w:val="single" w:sz="12" w:space="0" w:color="auto"/>
            <w:right w:val="single" w:sz="8" w:space="0" w:color="auto"/>
          </w:tcBorders>
        </w:tcPr>
        <w:p w14:paraId="5062B1EE" w14:textId="77777777" w:rsidR="00FD6F44" w:rsidRDefault="00FD6F44" w:rsidP="007A2BCF">
          <w:pPr>
            <w:pStyle w:val="NoSpacing"/>
            <w:rPr>
              <w:rFonts w:ascii="Arial" w:hAnsi="Arial" w:cs="Arial"/>
              <w:sz w:val="20"/>
              <w:szCs w:val="20"/>
            </w:rPr>
          </w:pPr>
          <w:r>
            <w:rPr>
              <w:rFonts w:ascii="Arial" w:hAnsi="Arial" w:cs="Arial"/>
              <w:sz w:val="20"/>
              <w:szCs w:val="20"/>
            </w:rPr>
            <w:t>1,3</w:t>
          </w:r>
        </w:p>
      </w:tc>
      <w:tc>
        <w:tcPr>
          <w:tcW w:w="1596" w:type="dxa"/>
          <w:tcBorders>
            <w:top w:val="single" w:sz="12" w:space="0" w:color="auto"/>
            <w:left w:val="single" w:sz="8" w:space="0" w:color="auto"/>
            <w:bottom w:val="single" w:sz="12" w:space="0" w:color="auto"/>
          </w:tcBorders>
        </w:tcPr>
        <w:p w14:paraId="7550DC9C" w14:textId="77777777" w:rsidR="00FD6F44" w:rsidRPr="00360FC2" w:rsidRDefault="00FD6F44" w:rsidP="007A2BCF">
          <w:pPr>
            <w:pStyle w:val="NoSpacing"/>
            <w:rPr>
              <w:rFonts w:ascii="Arial" w:hAnsi="Arial" w:cs="Arial"/>
              <w:sz w:val="20"/>
              <w:szCs w:val="20"/>
            </w:rPr>
          </w:pPr>
          <w:r w:rsidRPr="00360FC2">
            <w:rPr>
              <w:rFonts w:ascii="Arial" w:hAnsi="Arial" w:cs="Arial"/>
              <w:sz w:val="20"/>
              <w:szCs w:val="20"/>
            </w:rPr>
            <w:t>Guest speakers, role play and/or video are used in classroom to</w:t>
          </w:r>
        </w:p>
        <w:p w14:paraId="3A2C551E" w14:textId="77777777" w:rsidR="00FD6F44" w:rsidRPr="00360FC2" w:rsidRDefault="00FD6F44" w:rsidP="007A2BCF">
          <w:pPr>
            <w:pStyle w:val="NoSpacing"/>
            <w:rPr>
              <w:rFonts w:ascii="Arial" w:hAnsi="Arial" w:cs="Arial"/>
              <w:sz w:val="20"/>
              <w:szCs w:val="20"/>
            </w:rPr>
          </w:pPr>
          <w:r w:rsidRPr="00360FC2">
            <w:rPr>
              <w:rFonts w:ascii="Arial" w:hAnsi="Arial" w:cs="Arial"/>
              <w:sz w:val="20"/>
              <w:szCs w:val="20"/>
            </w:rPr>
            <w:t>demonstrate application of knowledge related to diverse populations and how to form alliances</w:t>
          </w:r>
        </w:p>
        <w:p w14:paraId="51CA30E5" w14:textId="77777777" w:rsidR="00FD6F44" w:rsidRPr="003C6020" w:rsidRDefault="00FD6F44" w:rsidP="007A2BCF">
          <w:pPr>
            <w:pStyle w:val="NoSpacing"/>
            <w:rPr>
              <w:rFonts w:ascii="Arial" w:hAnsi="Arial" w:cs="Arial"/>
              <w:sz w:val="20"/>
              <w:szCs w:val="20"/>
            </w:rPr>
          </w:pPr>
          <w:r w:rsidRPr="00360FC2">
            <w:rPr>
              <w:rFonts w:ascii="Arial" w:hAnsi="Arial" w:cs="Arial"/>
              <w:sz w:val="20"/>
              <w:szCs w:val="20"/>
            </w:rPr>
            <w:t>with them, as well as a diversity assignment</w:t>
          </w:r>
          <w:r>
            <w:rPr>
              <w:rFonts w:ascii="Arial" w:hAnsi="Arial" w:cs="Arial"/>
              <w:sz w:val="20"/>
              <w:szCs w:val="20"/>
            </w:rPr>
            <w:t xml:space="preserve"> focused on reflection (Knowledge and CA</w:t>
          </w:r>
        </w:p>
      </w:tc>
    </w:tr>
  </w:tbl>
  <w:p w14:paraId="4ACA9C2B" w14:textId="77777777" w:rsidR="00FD6F44" w:rsidRDefault="00FD6F44" w:rsidP="007A2BCF">
    <w:pPr>
      <w:pStyle w:val="NoSpacing"/>
      <w:spacing w:line="360" w:lineRule="auto"/>
      <w:rPr>
        <w:b/>
        <w:sz w:val="24"/>
        <w:szCs w:val="24"/>
      </w:rPr>
    </w:pPr>
  </w:p>
  <w:p w14:paraId="59D60C5D" w14:textId="77777777" w:rsidR="00FD6F44" w:rsidRDefault="00FD6F44" w:rsidP="00A67E0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C00"/>
    <w:multiLevelType w:val="hybridMultilevel"/>
    <w:tmpl w:val="90E664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484AC8"/>
    <w:multiLevelType w:val="hybridMultilevel"/>
    <w:tmpl w:val="EF52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909B5"/>
    <w:multiLevelType w:val="hybridMultilevel"/>
    <w:tmpl w:val="7B226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22075"/>
    <w:multiLevelType w:val="hybridMultilevel"/>
    <w:tmpl w:val="C28E6E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808DE"/>
    <w:multiLevelType w:val="hybridMultilevel"/>
    <w:tmpl w:val="D9C62FD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6557F7D"/>
    <w:multiLevelType w:val="hybridMultilevel"/>
    <w:tmpl w:val="15D4C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C501D"/>
    <w:multiLevelType w:val="hybridMultilevel"/>
    <w:tmpl w:val="707A704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1F681F"/>
    <w:multiLevelType w:val="hybridMultilevel"/>
    <w:tmpl w:val="9448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E332D"/>
    <w:multiLevelType w:val="hybridMultilevel"/>
    <w:tmpl w:val="C9FE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425D3"/>
    <w:multiLevelType w:val="hybridMultilevel"/>
    <w:tmpl w:val="B5FACB5A"/>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2BE0659F"/>
    <w:multiLevelType w:val="hybridMultilevel"/>
    <w:tmpl w:val="FE00D042"/>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1" w15:restartNumberingAfterBreak="0">
    <w:nsid w:val="3F710180"/>
    <w:multiLevelType w:val="hybridMultilevel"/>
    <w:tmpl w:val="5DF8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8751D"/>
    <w:multiLevelType w:val="hybridMultilevel"/>
    <w:tmpl w:val="8688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D79A0"/>
    <w:multiLevelType w:val="hybridMultilevel"/>
    <w:tmpl w:val="E4FAE2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1A0481"/>
    <w:multiLevelType w:val="hybridMultilevel"/>
    <w:tmpl w:val="E302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0590A"/>
    <w:multiLevelType w:val="hybridMultilevel"/>
    <w:tmpl w:val="A4968372"/>
    <w:lvl w:ilvl="0" w:tplc="1E32E7F8">
      <w:start w:val="1"/>
      <w:numFmt w:val="bullet"/>
      <w:lvlText w:val=""/>
      <w:lvlJc w:val="left"/>
      <w:pPr>
        <w:ind w:left="1800" w:hanging="360"/>
      </w:pPr>
      <w:rPr>
        <w:rFonts w:ascii="Symbol" w:hAnsi="Symbol" w:hint="default"/>
        <w:b/>
        <w:i w:val="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A2F1850"/>
    <w:multiLevelType w:val="hybridMultilevel"/>
    <w:tmpl w:val="8A3CBBA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7" w15:restartNumberingAfterBreak="0">
    <w:nsid w:val="5D2D4CCD"/>
    <w:multiLevelType w:val="hybridMultilevel"/>
    <w:tmpl w:val="258E0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B28A2"/>
    <w:multiLevelType w:val="hybridMultilevel"/>
    <w:tmpl w:val="0A4E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C4DA3"/>
    <w:multiLevelType w:val="hybridMultilevel"/>
    <w:tmpl w:val="B850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E479E7"/>
    <w:multiLevelType w:val="hybridMultilevel"/>
    <w:tmpl w:val="58BE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397003"/>
    <w:multiLevelType w:val="hybridMultilevel"/>
    <w:tmpl w:val="6162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9B4E5D"/>
    <w:multiLevelType w:val="hybridMultilevel"/>
    <w:tmpl w:val="FE6A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70756C"/>
    <w:multiLevelType w:val="hybridMultilevel"/>
    <w:tmpl w:val="E398E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9"/>
  </w:num>
  <w:num w:numId="4">
    <w:abstractNumId w:val="18"/>
  </w:num>
  <w:num w:numId="5">
    <w:abstractNumId w:val="8"/>
  </w:num>
  <w:num w:numId="6">
    <w:abstractNumId w:val="15"/>
  </w:num>
  <w:num w:numId="7">
    <w:abstractNumId w:val="2"/>
  </w:num>
  <w:num w:numId="8">
    <w:abstractNumId w:val="22"/>
  </w:num>
  <w:num w:numId="9">
    <w:abstractNumId w:val="13"/>
  </w:num>
  <w:num w:numId="10">
    <w:abstractNumId w:val="5"/>
  </w:num>
  <w:num w:numId="11">
    <w:abstractNumId w:val="1"/>
  </w:num>
  <w:num w:numId="12">
    <w:abstractNumId w:val="17"/>
  </w:num>
  <w:num w:numId="13">
    <w:abstractNumId w:val="19"/>
  </w:num>
  <w:num w:numId="14">
    <w:abstractNumId w:val="14"/>
  </w:num>
  <w:num w:numId="15">
    <w:abstractNumId w:val="12"/>
  </w:num>
  <w:num w:numId="16">
    <w:abstractNumId w:val="21"/>
  </w:num>
  <w:num w:numId="17">
    <w:abstractNumId w:val="16"/>
  </w:num>
  <w:num w:numId="18">
    <w:abstractNumId w:val="10"/>
  </w:num>
  <w:num w:numId="19">
    <w:abstractNumId w:val="23"/>
  </w:num>
  <w:num w:numId="20">
    <w:abstractNumId w:val="4"/>
  </w:num>
  <w:num w:numId="21">
    <w:abstractNumId w:val="6"/>
  </w:num>
  <w:num w:numId="22">
    <w:abstractNumId w:val="3"/>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E0D"/>
    <w:rsid w:val="00000798"/>
    <w:rsid w:val="00000B0E"/>
    <w:rsid w:val="00001551"/>
    <w:rsid w:val="00001795"/>
    <w:rsid w:val="000030A8"/>
    <w:rsid w:val="00003ED0"/>
    <w:rsid w:val="000050D3"/>
    <w:rsid w:val="00006482"/>
    <w:rsid w:val="0001077A"/>
    <w:rsid w:val="00011ABC"/>
    <w:rsid w:val="00015BEC"/>
    <w:rsid w:val="000160C1"/>
    <w:rsid w:val="00016F32"/>
    <w:rsid w:val="00017D75"/>
    <w:rsid w:val="00023E66"/>
    <w:rsid w:val="000255F8"/>
    <w:rsid w:val="000268B8"/>
    <w:rsid w:val="00026EA0"/>
    <w:rsid w:val="000308BE"/>
    <w:rsid w:val="00033BEA"/>
    <w:rsid w:val="00033FE3"/>
    <w:rsid w:val="0003411A"/>
    <w:rsid w:val="00040768"/>
    <w:rsid w:val="00040E2D"/>
    <w:rsid w:val="0004164B"/>
    <w:rsid w:val="000420B0"/>
    <w:rsid w:val="000425AB"/>
    <w:rsid w:val="000436F5"/>
    <w:rsid w:val="00043AA8"/>
    <w:rsid w:val="00044065"/>
    <w:rsid w:val="00044778"/>
    <w:rsid w:val="00044D20"/>
    <w:rsid w:val="00044D7B"/>
    <w:rsid w:val="00046A60"/>
    <w:rsid w:val="00050878"/>
    <w:rsid w:val="00052625"/>
    <w:rsid w:val="0005441A"/>
    <w:rsid w:val="00055B15"/>
    <w:rsid w:val="00057C77"/>
    <w:rsid w:val="00060A2C"/>
    <w:rsid w:val="000630AA"/>
    <w:rsid w:val="0006410F"/>
    <w:rsid w:val="0006599C"/>
    <w:rsid w:val="00065DE3"/>
    <w:rsid w:val="0006609E"/>
    <w:rsid w:val="0006757D"/>
    <w:rsid w:val="000702CF"/>
    <w:rsid w:val="00071034"/>
    <w:rsid w:val="00072898"/>
    <w:rsid w:val="00074995"/>
    <w:rsid w:val="00074FC3"/>
    <w:rsid w:val="00076356"/>
    <w:rsid w:val="0007665D"/>
    <w:rsid w:val="00077CE9"/>
    <w:rsid w:val="000808B3"/>
    <w:rsid w:val="0008130B"/>
    <w:rsid w:val="00082217"/>
    <w:rsid w:val="0008275E"/>
    <w:rsid w:val="00082A4E"/>
    <w:rsid w:val="00082AED"/>
    <w:rsid w:val="000831DA"/>
    <w:rsid w:val="000838AB"/>
    <w:rsid w:val="00084808"/>
    <w:rsid w:val="00085C80"/>
    <w:rsid w:val="00087149"/>
    <w:rsid w:val="000924D5"/>
    <w:rsid w:val="00092A20"/>
    <w:rsid w:val="000942DA"/>
    <w:rsid w:val="00095C43"/>
    <w:rsid w:val="00097322"/>
    <w:rsid w:val="00097392"/>
    <w:rsid w:val="000A0812"/>
    <w:rsid w:val="000A0A9C"/>
    <w:rsid w:val="000A2CC7"/>
    <w:rsid w:val="000A6137"/>
    <w:rsid w:val="000A7E6E"/>
    <w:rsid w:val="000B0447"/>
    <w:rsid w:val="000B25F4"/>
    <w:rsid w:val="000B28BB"/>
    <w:rsid w:val="000B382B"/>
    <w:rsid w:val="000B43D0"/>
    <w:rsid w:val="000B69F6"/>
    <w:rsid w:val="000B6A91"/>
    <w:rsid w:val="000C0484"/>
    <w:rsid w:val="000C2264"/>
    <w:rsid w:val="000C3AE7"/>
    <w:rsid w:val="000C3BC0"/>
    <w:rsid w:val="000C3F22"/>
    <w:rsid w:val="000C4508"/>
    <w:rsid w:val="000D0E8E"/>
    <w:rsid w:val="000D324F"/>
    <w:rsid w:val="000D5682"/>
    <w:rsid w:val="000D7810"/>
    <w:rsid w:val="000E142A"/>
    <w:rsid w:val="000E163A"/>
    <w:rsid w:val="000E2D69"/>
    <w:rsid w:val="000E53BC"/>
    <w:rsid w:val="000E5A9D"/>
    <w:rsid w:val="000E63BF"/>
    <w:rsid w:val="000F2699"/>
    <w:rsid w:val="000F29B7"/>
    <w:rsid w:val="000F2EDB"/>
    <w:rsid w:val="000F35F8"/>
    <w:rsid w:val="000F3F41"/>
    <w:rsid w:val="000F59A2"/>
    <w:rsid w:val="000F5F5C"/>
    <w:rsid w:val="00100FC3"/>
    <w:rsid w:val="00103F3D"/>
    <w:rsid w:val="0010658E"/>
    <w:rsid w:val="00112F09"/>
    <w:rsid w:val="0011630C"/>
    <w:rsid w:val="0011654D"/>
    <w:rsid w:val="00116A03"/>
    <w:rsid w:val="00116B74"/>
    <w:rsid w:val="00117D93"/>
    <w:rsid w:val="001204AC"/>
    <w:rsid w:val="0012353D"/>
    <w:rsid w:val="00124668"/>
    <w:rsid w:val="00124E9B"/>
    <w:rsid w:val="00126244"/>
    <w:rsid w:val="00130309"/>
    <w:rsid w:val="00130D9F"/>
    <w:rsid w:val="00131B0D"/>
    <w:rsid w:val="001321BF"/>
    <w:rsid w:val="00132D61"/>
    <w:rsid w:val="0013539D"/>
    <w:rsid w:val="00136411"/>
    <w:rsid w:val="00136F0F"/>
    <w:rsid w:val="00137115"/>
    <w:rsid w:val="00141343"/>
    <w:rsid w:val="00141D18"/>
    <w:rsid w:val="001431E5"/>
    <w:rsid w:val="001470EF"/>
    <w:rsid w:val="0015090B"/>
    <w:rsid w:val="00151811"/>
    <w:rsid w:val="00151C2D"/>
    <w:rsid w:val="00152DC8"/>
    <w:rsid w:val="00154F9A"/>
    <w:rsid w:val="00155B7E"/>
    <w:rsid w:val="00157B76"/>
    <w:rsid w:val="001600EA"/>
    <w:rsid w:val="001635FB"/>
    <w:rsid w:val="00163C5E"/>
    <w:rsid w:val="00170A65"/>
    <w:rsid w:val="00170E0E"/>
    <w:rsid w:val="00172D8F"/>
    <w:rsid w:val="0017495A"/>
    <w:rsid w:val="001753FB"/>
    <w:rsid w:val="001757C7"/>
    <w:rsid w:val="00176A32"/>
    <w:rsid w:val="00177919"/>
    <w:rsid w:val="00182574"/>
    <w:rsid w:val="00182EB6"/>
    <w:rsid w:val="00184BB8"/>
    <w:rsid w:val="00187153"/>
    <w:rsid w:val="00192E06"/>
    <w:rsid w:val="0019320F"/>
    <w:rsid w:val="00195635"/>
    <w:rsid w:val="00195CE8"/>
    <w:rsid w:val="00197557"/>
    <w:rsid w:val="001A0946"/>
    <w:rsid w:val="001A10BF"/>
    <w:rsid w:val="001A10DB"/>
    <w:rsid w:val="001A26DC"/>
    <w:rsid w:val="001A291D"/>
    <w:rsid w:val="001A56FA"/>
    <w:rsid w:val="001A5703"/>
    <w:rsid w:val="001A6A29"/>
    <w:rsid w:val="001A750F"/>
    <w:rsid w:val="001A765B"/>
    <w:rsid w:val="001A7A7F"/>
    <w:rsid w:val="001B1A45"/>
    <w:rsid w:val="001B2BC6"/>
    <w:rsid w:val="001B2DCE"/>
    <w:rsid w:val="001B37C6"/>
    <w:rsid w:val="001B57A2"/>
    <w:rsid w:val="001B6065"/>
    <w:rsid w:val="001B628B"/>
    <w:rsid w:val="001B681C"/>
    <w:rsid w:val="001B6D15"/>
    <w:rsid w:val="001C0085"/>
    <w:rsid w:val="001C2899"/>
    <w:rsid w:val="001C33C1"/>
    <w:rsid w:val="001D0BEA"/>
    <w:rsid w:val="001D0D73"/>
    <w:rsid w:val="001D146B"/>
    <w:rsid w:val="001D56AD"/>
    <w:rsid w:val="001D6528"/>
    <w:rsid w:val="001E1E9B"/>
    <w:rsid w:val="001E2B11"/>
    <w:rsid w:val="001E2F6D"/>
    <w:rsid w:val="001E57EE"/>
    <w:rsid w:val="001F04D1"/>
    <w:rsid w:val="001F2D8A"/>
    <w:rsid w:val="001F37FF"/>
    <w:rsid w:val="001F417E"/>
    <w:rsid w:val="001F45D4"/>
    <w:rsid w:val="001F51CF"/>
    <w:rsid w:val="001F661D"/>
    <w:rsid w:val="001F7E61"/>
    <w:rsid w:val="0020197A"/>
    <w:rsid w:val="00203A7D"/>
    <w:rsid w:val="002119CC"/>
    <w:rsid w:val="00211DBE"/>
    <w:rsid w:val="00212F0C"/>
    <w:rsid w:val="002132B8"/>
    <w:rsid w:val="002140DC"/>
    <w:rsid w:val="00214780"/>
    <w:rsid w:val="00217CB2"/>
    <w:rsid w:val="002251B2"/>
    <w:rsid w:val="002257CF"/>
    <w:rsid w:val="002266F8"/>
    <w:rsid w:val="00227E2F"/>
    <w:rsid w:val="002319D5"/>
    <w:rsid w:val="00232CB8"/>
    <w:rsid w:val="00235025"/>
    <w:rsid w:val="00235CA7"/>
    <w:rsid w:val="00235FF8"/>
    <w:rsid w:val="00236503"/>
    <w:rsid w:val="00240743"/>
    <w:rsid w:val="0024409E"/>
    <w:rsid w:val="002476C2"/>
    <w:rsid w:val="0024799E"/>
    <w:rsid w:val="00247A36"/>
    <w:rsid w:val="00251BDB"/>
    <w:rsid w:val="00252739"/>
    <w:rsid w:val="00254FC9"/>
    <w:rsid w:val="002551A7"/>
    <w:rsid w:val="002560AD"/>
    <w:rsid w:val="002600A5"/>
    <w:rsid w:val="002627CA"/>
    <w:rsid w:val="00263C6B"/>
    <w:rsid w:val="00265F08"/>
    <w:rsid w:val="00266007"/>
    <w:rsid w:val="002678C8"/>
    <w:rsid w:val="00273025"/>
    <w:rsid w:val="0028427B"/>
    <w:rsid w:val="002848B6"/>
    <w:rsid w:val="00284C9B"/>
    <w:rsid w:val="00286C27"/>
    <w:rsid w:val="002870D6"/>
    <w:rsid w:val="00290BB8"/>
    <w:rsid w:val="00290EC8"/>
    <w:rsid w:val="002916A4"/>
    <w:rsid w:val="00292AA9"/>
    <w:rsid w:val="00293893"/>
    <w:rsid w:val="00293C77"/>
    <w:rsid w:val="00294866"/>
    <w:rsid w:val="00294B77"/>
    <w:rsid w:val="00294CA5"/>
    <w:rsid w:val="002A060E"/>
    <w:rsid w:val="002A29A0"/>
    <w:rsid w:val="002A4695"/>
    <w:rsid w:val="002B34FA"/>
    <w:rsid w:val="002B7896"/>
    <w:rsid w:val="002C2864"/>
    <w:rsid w:val="002D15A9"/>
    <w:rsid w:val="002D3800"/>
    <w:rsid w:val="002D4875"/>
    <w:rsid w:val="002D4EE6"/>
    <w:rsid w:val="002D5B5C"/>
    <w:rsid w:val="002D73E0"/>
    <w:rsid w:val="002D779D"/>
    <w:rsid w:val="002E095D"/>
    <w:rsid w:val="002E11F9"/>
    <w:rsid w:val="002E167C"/>
    <w:rsid w:val="002E2F0E"/>
    <w:rsid w:val="002E3ABB"/>
    <w:rsid w:val="002E5607"/>
    <w:rsid w:val="002E6CF8"/>
    <w:rsid w:val="002E6F24"/>
    <w:rsid w:val="002F4EEF"/>
    <w:rsid w:val="002F5043"/>
    <w:rsid w:val="002F6777"/>
    <w:rsid w:val="002F6D2F"/>
    <w:rsid w:val="00300D17"/>
    <w:rsid w:val="0030112E"/>
    <w:rsid w:val="00302AC3"/>
    <w:rsid w:val="00303EA4"/>
    <w:rsid w:val="003077E3"/>
    <w:rsid w:val="00307963"/>
    <w:rsid w:val="003107D4"/>
    <w:rsid w:val="00314D16"/>
    <w:rsid w:val="00315448"/>
    <w:rsid w:val="00315723"/>
    <w:rsid w:val="00317E78"/>
    <w:rsid w:val="003203BC"/>
    <w:rsid w:val="00321F11"/>
    <w:rsid w:val="00322045"/>
    <w:rsid w:val="003266CE"/>
    <w:rsid w:val="00327E35"/>
    <w:rsid w:val="00330764"/>
    <w:rsid w:val="00330BCE"/>
    <w:rsid w:val="00331655"/>
    <w:rsid w:val="0033266E"/>
    <w:rsid w:val="003335D6"/>
    <w:rsid w:val="00334E64"/>
    <w:rsid w:val="00335239"/>
    <w:rsid w:val="003358E1"/>
    <w:rsid w:val="00337889"/>
    <w:rsid w:val="003410B3"/>
    <w:rsid w:val="003414DF"/>
    <w:rsid w:val="0034163C"/>
    <w:rsid w:val="00341924"/>
    <w:rsid w:val="00342651"/>
    <w:rsid w:val="00343C84"/>
    <w:rsid w:val="0034431F"/>
    <w:rsid w:val="003453D3"/>
    <w:rsid w:val="00345DFE"/>
    <w:rsid w:val="00346513"/>
    <w:rsid w:val="0035116D"/>
    <w:rsid w:val="00355010"/>
    <w:rsid w:val="00360D69"/>
    <w:rsid w:val="0036206F"/>
    <w:rsid w:val="003646ED"/>
    <w:rsid w:val="00370904"/>
    <w:rsid w:val="00371637"/>
    <w:rsid w:val="00371AFB"/>
    <w:rsid w:val="00372CB9"/>
    <w:rsid w:val="00382C98"/>
    <w:rsid w:val="003831B6"/>
    <w:rsid w:val="00384ADD"/>
    <w:rsid w:val="003850DF"/>
    <w:rsid w:val="00385CD4"/>
    <w:rsid w:val="00386832"/>
    <w:rsid w:val="003923DC"/>
    <w:rsid w:val="00392C6A"/>
    <w:rsid w:val="00392F37"/>
    <w:rsid w:val="00394E03"/>
    <w:rsid w:val="0039508D"/>
    <w:rsid w:val="00395B82"/>
    <w:rsid w:val="00395D2D"/>
    <w:rsid w:val="003976B5"/>
    <w:rsid w:val="003A019D"/>
    <w:rsid w:val="003A0453"/>
    <w:rsid w:val="003A32BA"/>
    <w:rsid w:val="003A3AB2"/>
    <w:rsid w:val="003A7B1C"/>
    <w:rsid w:val="003B0731"/>
    <w:rsid w:val="003B0E1D"/>
    <w:rsid w:val="003B3661"/>
    <w:rsid w:val="003B44C5"/>
    <w:rsid w:val="003B4AEB"/>
    <w:rsid w:val="003C0B1D"/>
    <w:rsid w:val="003C106A"/>
    <w:rsid w:val="003C16A5"/>
    <w:rsid w:val="003C35BA"/>
    <w:rsid w:val="003C41F3"/>
    <w:rsid w:val="003C4D2B"/>
    <w:rsid w:val="003C6DB3"/>
    <w:rsid w:val="003D0186"/>
    <w:rsid w:val="003D08F5"/>
    <w:rsid w:val="003D41A8"/>
    <w:rsid w:val="003D4E8B"/>
    <w:rsid w:val="003D6557"/>
    <w:rsid w:val="003D75C5"/>
    <w:rsid w:val="003D77AA"/>
    <w:rsid w:val="003E1666"/>
    <w:rsid w:val="003E2369"/>
    <w:rsid w:val="003E544F"/>
    <w:rsid w:val="003E5CBE"/>
    <w:rsid w:val="003E7769"/>
    <w:rsid w:val="003F05BF"/>
    <w:rsid w:val="003F1E1E"/>
    <w:rsid w:val="003F4C33"/>
    <w:rsid w:val="003F4F03"/>
    <w:rsid w:val="003F5D81"/>
    <w:rsid w:val="003F6630"/>
    <w:rsid w:val="003F6B86"/>
    <w:rsid w:val="004019F8"/>
    <w:rsid w:val="0040360A"/>
    <w:rsid w:val="00403BCE"/>
    <w:rsid w:val="0040404E"/>
    <w:rsid w:val="004042A3"/>
    <w:rsid w:val="0040496C"/>
    <w:rsid w:val="0040605B"/>
    <w:rsid w:val="00411004"/>
    <w:rsid w:val="00412650"/>
    <w:rsid w:val="00412C26"/>
    <w:rsid w:val="004136D6"/>
    <w:rsid w:val="00415AC3"/>
    <w:rsid w:val="00420ED6"/>
    <w:rsid w:val="00423678"/>
    <w:rsid w:val="0042378B"/>
    <w:rsid w:val="00423DA5"/>
    <w:rsid w:val="0042410E"/>
    <w:rsid w:val="004243FA"/>
    <w:rsid w:val="00425295"/>
    <w:rsid w:val="00426169"/>
    <w:rsid w:val="0042648C"/>
    <w:rsid w:val="0042786F"/>
    <w:rsid w:val="00430149"/>
    <w:rsid w:val="0043023B"/>
    <w:rsid w:val="00432519"/>
    <w:rsid w:val="00432949"/>
    <w:rsid w:val="00433337"/>
    <w:rsid w:val="00436306"/>
    <w:rsid w:val="0044053B"/>
    <w:rsid w:val="004408A2"/>
    <w:rsid w:val="00442112"/>
    <w:rsid w:val="0044638D"/>
    <w:rsid w:val="004509F3"/>
    <w:rsid w:val="00453B92"/>
    <w:rsid w:val="0045430B"/>
    <w:rsid w:val="00456133"/>
    <w:rsid w:val="004571B4"/>
    <w:rsid w:val="00460DB9"/>
    <w:rsid w:val="00462476"/>
    <w:rsid w:val="00463729"/>
    <w:rsid w:val="00464186"/>
    <w:rsid w:val="00466177"/>
    <w:rsid w:val="00467B8D"/>
    <w:rsid w:val="0047197E"/>
    <w:rsid w:val="0047198E"/>
    <w:rsid w:val="004726AE"/>
    <w:rsid w:val="00473985"/>
    <w:rsid w:val="00473F1F"/>
    <w:rsid w:val="00474BDE"/>
    <w:rsid w:val="004829DC"/>
    <w:rsid w:val="00484FC4"/>
    <w:rsid w:val="004869F0"/>
    <w:rsid w:val="0049099F"/>
    <w:rsid w:val="0049256D"/>
    <w:rsid w:val="00493BB5"/>
    <w:rsid w:val="00494188"/>
    <w:rsid w:val="0049568F"/>
    <w:rsid w:val="00495CE6"/>
    <w:rsid w:val="004973A5"/>
    <w:rsid w:val="004A0999"/>
    <w:rsid w:val="004A2510"/>
    <w:rsid w:val="004A4BD7"/>
    <w:rsid w:val="004A4F56"/>
    <w:rsid w:val="004A6736"/>
    <w:rsid w:val="004A696E"/>
    <w:rsid w:val="004A6FAB"/>
    <w:rsid w:val="004B0019"/>
    <w:rsid w:val="004B0341"/>
    <w:rsid w:val="004B2435"/>
    <w:rsid w:val="004B36A3"/>
    <w:rsid w:val="004B66AF"/>
    <w:rsid w:val="004C1106"/>
    <w:rsid w:val="004C13DF"/>
    <w:rsid w:val="004C19D3"/>
    <w:rsid w:val="004C2485"/>
    <w:rsid w:val="004C4F66"/>
    <w:rsid w:val="004C5B9F"/>
    <w:rsid w:val="004C6DD8"/>
    <w:rsid w:val="004D0FE3"/>
    <w:rsid w:val="004D15F8"/>
    <w:rsid w:val="004D1ABF"/>
    <w:rsid w:val="004D2C74"/>
    <w:rsid w:val="004D3253"/>
    <w:rsid w:val="004E12CB"/>
    <w:rsid w:val="004E14A1"/>
    <w:rsid w:val="004E2A8D"/>
    <w:rsid w:val="004E2D0F"/>
    <w:rsid w:val="004E2E44"/>
    <w:rsid w:val="004E3BF0"/>
    <w:rsid w:val="004E646A"/>
    <w:rsid w:val="004E7A4D"/>
    <w:rsid w:val="004E7B48"/>
    <w:rsid w:val="004F1B15"/>
    <w:rsid w:val="004F21EE"/>
    <w:rsid w:val="004F38B7"/>
    <w:rsid w:val="004F42D3"/>
    <w:rsid w:val="004F6CBB"/>
    <w:rsid w:val="00500F43"/>
    <w:rsid w:val="00500FCE"/>
    <w:rsid w:val="00506069"/>
    <w:rsid w:val="00506C1D"/>
    <w:rsid w:val="0051438A"/>
    <w:rsid w:val="00514FBF"/>
    <w:rsid w:val="0051508D"/>
    <w:rsid w:val="0051623D"/>
    <w:rsid w:val="00524150"/>
    <w:rsid w:val="00527B61"/>
    <w:rsid w:val="00527C74"/>
    <w:rsid w:val="00531302"/>
    <w:rsid w:val="005331A7"/>
    <w:rsid w:val="005338E9"/>
    <w:rsid w:val="00534421"/>
    <w:rsid w:val="00534724"/>
    <w:rsid w:val="00534B43"/>
    <w:rsid w:val="005354F7"/>
    <w:rsid w:val="005359DE"/>
    <w:rsid w:val="00536101"/>
    <w:rsid w:val="00540B85"/>
    <w:rsid w:val="00540D5C"/>
    <w:rsid w:val="00542944"/>
    <w:rsid w:val="00543C50"/>
    <w:rsid w:val="00546F14"/>
    <w:rsid w:val="00547395"/>
    <w:rsid w:val="00547946"/>
    <w:rsid w:val="00550657"/>
    <w:rsid w:val="0055594D"/>
    <w:rsid w:val="00556658"/>
    <w:rsid w:val="00557770"/>
    <w:rsid w:val="00560052"/>
    <w:rsid w:val="00560334"/>
    <w:rsid w:val="00560830"/>
    <w:rsid w:val="005652B5"/>
    <w:rsid w:val="005654F5"/>
    <w:rsid w:val="00570767"/>
    <w:rsid w:val="0057079A"/>
    <w:rsid w:val="0057169F"/>
    <w:rsid w:val="00573292"/>
    <w:rsid w:val="005777CB"/>
    <w:rsid w:val="005819DA"/>
    <w:rsid w:val="005821BA"/>
    <w:rsid w:val="00583A0B"/>
    <w:rsid w:val="00585BE9"/>
    <w:rsid w:val="00585FCA"/>
    <w:rsid w:val="00590F6A"/>
    <w:rsid w:val="00593EE9"/>
    <w:rsid w:val="00593F71"/>
    <w:rsid w:val="00595A54"/>
    <w:rsid w:val="005A20B6"/>
    <w:rsid w:val="005A298A"/>
    <w:rsid w:val="005A4113"/>
    <w:rsid w:val="005A6784"/>
    <w:rsid w:val="005B095D"/>
    <w:rsid w:val="005B107A"/>
    <w:rsid w:val="005B2CC4"/>
    <w:rsid w:val="005C04F2"/>
    <w:rsid w:val="005C3999"/>
    <w:rsid w:val="005C3F24"/>
    <w:rsid w:val="005C61C5"/>
    <w:rsid w:val="005C79B8"/>
    <w:rsid w:val="005D0869"/>
    <w:rsid w:val="005D201F"/>
    <w:rsid w:val="005D2C25"/>
    <w:rsid w:val="005D388B"/>
    <w:rsid w:val="005D3980"/>
    <w:rsid w:val="005D3A47"/>
    <w:rsid w:val="005D3C7B"/>
    <w:rsid w:val="005D42DB"/>
    <w:rsid w:val="005D7676"/>
    <w:rsid w:val="005E131F"/>
    <w:rsid w:val="005E1386"/>
    <w:rsid w:val="005E2D11"/>
    <w:rsid w:val="005E351C"/>
    <w:rsid w:val="005E4038"/>
    <w:rsid w:val="005E46F9"/>
    <w:rsid w:val="005E4964"/>
    <w:rsid w:val="005E6966"/>
    <w:rsid w:val="005E7C35"/>
    <w:rsid w:val="005F639B"/>
    <w:rsid w:val="005F7225"/>
    <w:rsid w:val="0060287A"/>
    <w:rsid w:val="00611EA0"/>
    <w:rsid w:val="0061261E"/>
    <w:rsid w:val="00613171"/>
    <w:rsid w:val="006150EC"/>
    <w:rsid w:val="00617E7C"/>
    <w:rsid w:val="00617F8F"/>
    <w:rsid w:val="00620BA7"/>
    <w:rsid w:val="00621712"/>
    <w:rsid w:val="00621F00"/>
    <w:rsid w:val="00621FAC"/>
    <w:rsid w:val="00622061"/>
    <w:rsid w:val="00622E73"/>
    <w:rsid w:val="00622FD6"/>
    <w:rsid w:val="006239FA"/>
    <w:rsid w:val="00623D70"/>
    <w:rsid w:val="006259FE"/>
    <w:rsid w:val="00632023"/>
    <w:rsid w:val="0063430A"/>
    <w:rsid w:val="0063512F"/>
    <w:rsid w:val="00635CB1"/>
    <w:rsid w:val="0063701F"/>
    <w:rsid w:val="0063734C"/>
    <w:rsid w:val="00642377"/>
    <w:rsid w:val="00643806"/>
    <w:rsid w:val="00645ED7"/>
    <w:rsid w:val="00650FAF"/>
    <w:rsid w:val="00651E50"/>
    <w:rsid w:val="00656E8B"/>
    <w:rsid w:val="00657A55"/>
    <w:rsid w:val="00662E61"/>
    <w:rsid w:val="006631CF"/>
    <w:rsid w:val="006632A0"/>
    <w:rsid w:val="00663AEE"/>
    <w:rsid w:val="006650EE"/>
    <w:rsid w:val="00666A6B"/>
    <w:rsid w:val="00670435"/>
    <w:rsid w:val="006732D9"/>
    <w:rsid w:val="00673A23"/>
    <w:rsid w:val="00673B0B"/>
    <w:rsid w:val="00675E6C"/>
    <w:rsid w:val="006764C2"/>
    <w:rsid w:val="006767D1"/>
    <w:rsid w:val="00677459"/>
    <w:rsid w:val="0068227A"/>
    <w:rsid w:val="00682AFA"/>
    <w:rsid w:val="00685156"/>
    <w:rsid w:val="0068676D"/>
    <w:rsid w:val="00687486"/>
    <w:rsid w:val="00690647"/>
    <w:rsid w:val="00690BEA"/>
    <w:rsid w:val="00691766"/>
    <w:rsid w:val="00691FA1"/>
    <w:rsid w:val="00693D76"/>
    <w:rsid w:val="006949BC"/>
    <w:rsid w:val="006972DB"/>
    <w:rsid w:val="006974F8"/>
    <w:rsid w:val="006976C2"/>
    <w:rsid w:val="00697794"/>
    <w:rsid w:val="006A0E5B"/>
    <w:rsid w:val="006A1731"/>
    <w:rsid w:val="006A3A6C"/>
    <w:rsid w:val="006A4F7E"/>
    <w:rsid w:val="006A5694"/>
    <w:rsid w:val="006A6730"/>
    <w:rsid w:val="006A68C5"/>
    <w:rsid w:val="006B0C9B"/>
    <w:rsid w:val="006B0F71"/>
    <w:rsid w:val="006B2A54"/>
    <w:rsid w:val="006B3454"/>
    <w:rsid w:val="006B6A52"/>
    <w:rsid w:val="006C2E16"/>
    <w:rsid w:val="006C5DC9"/>
    <w:rsid w:val="006C62A5"/>
    <w:rsid w:val="006D513F"/>
    <w:rsid w:val="006D6666"/>
    <w:rsid w:val="006D7B48"/>
    <w:rsid w:val="006E5EB4"/>
    <w:rsid w:val="006E737E"/>
    <w:rsid w:val="006F02CC"/>
    <w:rsid w:val="006F11D6"/>
    <w:rsid w:val="006F2EF1"/>
    <w:rsid w:val="006F4A98"/>
    <w:rsid w:val="006F5819"/>
    <w:rsid w:val="00700497"/>
    <w:rsid w:val="0070085D"/>
    <w:rsid w:val="00700907"/>
    <w:rsid w:val="007009A0"/>
    <w:rsid w:val="007013C2"/>
    <w:rsid w:val="00702948"/>
    <w:rsid w:val="00703A0D"/>
    <w:rsid w:val="00707B17"/>
    <w:rsid w:val="00710F55"/>
    <w:rsid w:val="00712451"/>
    <w:rsid w:val="00712598"/>
    <w:rsid w:val="00714F35"/>
    <w:rsid w:val="00716C4C"/>
    <w:rsid w:val="00720483"/>
    <w:rsid w:val="007237DD"/>
    <w:rsid w:val="007240C3"/>
    <w:rsid w:val="007271D4"/>
    <w:rsid w:val="00727DBD"/>
    <w:rsid w:val="00730718"/>
    <w:rsid w:val="00733621"/>
    <w:rsid w:val="00735352"/>
    <w:rsid w:val="00737058"/>
    <w:rsid w:val="00737CEE"/>
    <w:rsid w:val="00744D0B"/>
    <w:rsid w:val="00745C3B"/>
    <w:rsid w:val="007471D6"/>
    <w:rsid w:val="00750795"/>
    <w:rsid w:val="00750D0E"/>
    <w:rsid w:val="007510CA"/>
    <w:rsid w:val="00752081"/>
    <w:rsid w:val="007563B7"/>
    <w:rsid w:val="0075699D"/>
    <w:rsid w:val="00760E49"/>
    <w:rsid w:val="0076151A"/>
    <w:rsid w:val="00761F4D"/>
    <w:rsid w:val="00762704"/>
    <w:rsid w:val="00763133"/>
    <w:rsid w:val="0076409D"/>
    <w:rsid w:val="007647CE"/>
    <w:rsid w:val="007670CB"/>
    <w:rsid w:val="0076727F"/>
    <w:rsid w:val="00773140"/>
    <w:rsid w:val="0077443F"/>
    <w:rsid w:val="00777834"/>
    <w:rsid w:val="00780900"/>
    <w:rsid w:val="007818BB"/>
    <w:rsid w:val="00782403"/>
    <w:rsid w:val="0078334A"/>
    <w:rsid w:val="00783C53"/>
    <w:rsid w:val="00785304"/>
    <w:rsid w:val="00785498"/>
    <w:rsid w:val="00787270"/>
    <w:rsid w:val="00790218"/>
    <w:rsid w:val="00790724"/>
    <w:rsid w:val="00793EBF"/>
    <w:rsid w:val="007951CD"/>
    <w:rsid w:val="00797CA1"/>
    <w:rsid w:val="007A1BFE"/>
    <w:rsid w:val="007A20A3"/>
    <w:rsid w:val="007A27FF"/>
    <w:rsid w:val="007A2BCF"/>
    <w:rsid w:val="007A2D77"/>
    <w:rsid w:val="007A43D0"/>
    <w:rsid w:val="007A54BC"/>
    <w:rsid w:val="007A6F0C"/>
    <w:rsid w:val="007A7195"/>
    <w:rsid w:val="007A7D48"/>
    <w:rsid w:val="007B07EC"/>
    <w:rsid w:val="007B1C61"/>
    <w:rsid w:val="007B21FF"/>
    <w:rsid w:val="007B40FD"/>
    <w:rsid w:val="007B43A1"/>
    <w:rsid w:val="007B4565"/>
    <w:rsid w:val="007B51DA"/>
    <w:rsid w:val="007B5AD2"/>
    <w:rsid w:val="007B745A"/>
    <w:rsid w:val="007C15C3"/>
    <w:rsid w:val="007D06FD"/>
    <w:rsid w:val="007D2A95"/>
    <w:rsid w:val="007D2D31"/>
    <w:rsid w:val="007D30DF"/>
    <w:rsid w:val="007D41CC"/>
    <w:rsid w:val="007D5B49"/>
    <w:rsid w:val="007D62AD"/>
    <w:rsid w:val="007E1DC1"/>
    <w:rsid w:val="007E1E23"/>
    <w:rsid w:val="007E3EE0"/>
    <w:rsid w:val="007E4BD5"/>
    <w:rsid w:val="007E7E2A"/>
    <w:rsid w:val="007F0D85"/>
    <w:rsid w:val="007F2696"/>
    <w:rsid w:val="007F28F3"/>
    <w:rsid w:val="007F33C3"/>
    <w:rsid w:val="007F5086"/>
    <w:rsid w:val="00800BA7"/>
    <w:rsid w:val="0080103C"/>
    <w:rsid w:val="00801A09"/>
    <w:rsid w:val="008024A0"/>
    <w:rsid w:val="008029FB"/>
    <w:rsid w:val="0080355D"/>
    <w:rsid w:val="00803A1A"/>
    <w:rsid w:val="00804A17"/>
    <w:rsid w:val="00805810"/>
    <w:rsid w:val="00810171"/>
    <w:rsid w:val="00811D05"/>
    <w:rsid w:val="00811EEC"/>
    <w:rsid w:val="0081334C"/>
    <w:rsid w:val="00813816"/>
    <w:rsid w:val="0081489A"/>
    <w:rsid w:val="008149E5"/>
    <w:rsid w:val="00816DEA"/>
    <w:rsid w:val="00820239"/>
    <w:rsid w:val="00820FB8"/>
    <w:rsid w:val="00822354"/>
    <w:rsid w:val="008226A4"/>
    <w:rsid w:val="00823BD5"/>
    <w:rsid w:val="008254F1"/>
    <w:rsid w:val="00826BC4"/>
    <w:rsid w:val="0083230E"/>
    <w:rsid w:val="0083260D"/>
    <w:rsid w:val="00832EE2"/>
    <w:rsid w:val="0083479A"/>
    <w:rsid w:val="008348F6"/>
    <w:rsid w:val="00835B59"/>
    <w:rsid w:val="00836BD5"/>
    <w:rsid w:val="008372ED"/>
    <w:rsid w:val="008405D1"/>
    <w:rsid w:val="00840802"/>
    <w:rsid w:val="008415A9"/>
    <w:rsid w:val="00841EA5"/>
    <w:rsid w:val="00843460"/>
    <w:rsid w:val="00844D81"/>
    <w:rsid w:val="008457CA"/>
    <w:rsid w:val="00846F9E"/>
    <w:rsid w:val="00847ADE"/>
    <w:rsid w:val="00847DC4"/>
    <w:rsid w:val="0085073F"/>
    <w:rsid w:val="00854955"/>
    <w:rsid w:val="00854C3C"/>
    <w:rsid w:val="00860704"/>
    <w:rsid w:val="008622AA"/>
    <w:rsid w:val="00863E2F"/>
    <w:rsid w:val="00864444"/>
    <w:rsid w:val="0086573C"/>
    <w:rsid w:val="008664D5"/>
    <w:rsid w:val="008668CF"/>
    <w:rsid w:val="00866B91"/>
    <w:rsid w:val="00866C17"/>
    <w:rsid w:val="00866DD5"/>
    <w:rsid w:val="00867119"/>
    <w:rsid w:val="00870059"/>
    <w:rsid w:val="00870B45"/>
    <w:rsid w:val="00871560"/>
    <w:rsid w:val="0087214D"/>
    <w:rsid w:val="00874B10"/>
    <w:rsid w:val="00876267"/>
    <w:rsid w:val="008764C3"/>
    <w:rsid w:val="008806FD"/>
    <w:rsid w:val="008807D3"/>
    <w:rsid w:val="0088321A"/>
    <w:rsid w:val="00883868"/>
    <w:rsid w:val="00884BBF"/>
    <w:rsid w:val="00885D4C"/>
    <w:rsid w:val="008938E2"/>
    <w:rsid w:val="00895248"/>
    <w:rsid w:val="00897A83"/>
    <w:rsid w:val="00897C36"/>
    <w:rsid w:val="008A25E3"/>
    <w:rsid w:val="008A5995"/>
    <w:rsid w:val="008A69C6"/>
    <w:rsid w:val="008A6AE1"/>
    <w:rsid w:val="008B0BCF"/>
    <w:rsid w:val="008B1197"/>
    <w:rsid w:val="008B405E"/>
    <w:rsid w:val="008B5E5B"/>
    <w:rsid w:val="008B675C"/>
    <w:rsid w:val="008C03E1"/>
    <w:rsid w:val="008C082F"/>
    <w:rsid w:val="008C0CF4"/>
    <w:rsid w:val="008C353D"/>
    <w:rsid w:val="008C4E76"/>
    <w:rsid w:val="008C55EB"/>
    <w:rsid w:val="008C5CBC"/>
    <w:rsid w:val="008C60FA"/>
    <w:rsid w:val="008D1D5B"/>
    <w:rsid w:val="008D3095"/>
    <w:rsid w:val="008D4784"/>
    <w:rsid w:val="008D4ACF"/>
    <w:rsid w:val="008D67D3"/>
    <w:rsid w:val="008D7CD2"/>
    <w:rsid w:val="008E2280"/>
    <w:rsid w:val="008E27BA"/>
    <w:rsid w:val="008E31CE"/>
    <w:rsid w:val="008E553E"/>
    <w:rsid w:val="008E6BA8"/>
    <w:rsid w:val="008E7A23"/>
    <w:rsid w:val="008E7C38"/>
    <w:rsid w:val="008F02E8"/>
    <w:rsid w:val="008F0401"/>
    <w:rsid w:val="008F2228"/>
    <w:rsid w:val="008F3D84"/>
    <w:rsid w:val="008F5BE5"/>
    <w:rsid w:val="009000C8"/>
    <w:rsid w:val="00900857"/>
    <w:rsid w:val="00900D06"/>
    <w:rsid w:val="00903C84"/>
    <w:rsid w:val="0090520A"/>
    <w:rsid w:val="00906666"/>
    <w:rsid w:val="00906E90"/>
    <w:rsid w:val="0091779F"/>
    <w:rsid w:val="009202A5"/>
    <w:rsid w:val="0092065D"/>
    <w:rsid w:val="00921745"/>
    <w:rsid w:val="0092689E"/>
    <w:rsid w:val="009268F1"/>
    <w:rsid w:val="009311B9"/>
    <w:rsid w:val="00933C42"/>
    <w:rsid w:val="00933CCC"/>
    <w:rsid w:val="00935A6E"/>
    <w:rsid w:val="00935C8A"/>
    <w:rsid w:val="009369F8"/>
    <w:rsid w:val="009400A9"/>
    <w:rsid w:val="00941CFD"/>
    <w:rsid w:val="0094546B"/>
    <w:rsid w:val="00946831"/>
    <w:rsid w:val="00953D05"/>
    <w:rsid w:val="00955A6B"/>
    <w:rsid w:val="0095755B"/>
    <w:rsid w:val="009579E8"/>
    <w:rsid w:val="009609FF"/>
    <w:rsid w:val="009630AE"/>
    <w:rsid w:val="0096447B"/>
    <w:rsid w:val="009648FF"/>
    <w:rsid w:val="0096588E"/>
    <w:rsid w:val="00966363"/>
    <w:rsid w:val="00967BFC"/>
    <w:rsid w:val="00972732"/>
    <w:rsid w:val="009736F9"/>
    <w:rsid w:val="0097719B"/>
    <w:rsid w:val="00977DE6"/>
    <w:rsid w:val="00977E91"/>
    <w:rsid w:val="00981EC8"/>
    <w:rsid w:val="00982BEF"/>
    <w:rsid w:val="00982C2F"/>
    <w:rsid w:val="009834F3"/>
    <w:rsid w:val="00983C76"/>
    <w:rsid w:val="00985B03"/>
    <w:rsid w:val="00991D16"/>
    <w:rsid w:val="00991D47"/>
    <w:rsid w:val="00991E55"/>
    <w:rsid w:val="00993F02"/>
    <w:rsid w:val="00994F0C"/>
    <w:rsid w:val="00996AF2"/>
    <w:rsid w:val="009978B0"/>
    <w:rsid w:val="009A19D8"/>
    <w:rsid w:val="009A4E65"/>
    <w:rsid w:val="009A7FAC"/>
    <w:rsid w:val="009B09A2"/>
    <w:rsid w:val="009B1074"/>
    <w:rsid w:val="009B1CE7"/>
    <w:rsid w:val="009B3559"/>
    <w:rsid w:val="009B6765"/>
    <w:rsid w:val="009B6F6E"/>
    <w:rsid w:val="009B790E"/>
    <w:rsid w:val="009C111C"/>
    <w:rsid w:val="009C1FC5"/>
    <w:rsid w:val="009C7DF9"/>
    <w:rsid w:val="009D1B12"/>
    <w:rsid w:val="009D227D"/>
    <w:rsid w:val="009D38E7"/>
    <w:rsid w:val="009D519D"/>
    <w:rsid w:val="009D66B9"/>
    <w:rsid w:val="009E0247"/>
    <w:rsid w:val="009E25BF"/>
    <w:rsid w:val="009E3BC4"/>
    <w:rsid w:val="009E7957"/>
    <w:rsid w:val="009F0C92"/>
    <w:rsid w:val="009F2646"/>
    <w:rsid w:val="009F6068"/>
    <w:rsid w:val="009F67A1"/>
    <w:rsid w:val="009F7140"/>
    <w:rsid w:val="009F7AFA"/>
    <w:rsid w:val="00A022F1"/>
    <w:rsid w:val="00A05D28"/>
    <w:rsid w:val="00A108CA"/>
    <w:rsid w:val="00A12C78"/>
    <w:rsid w:val="00A134B0"/>
    <w:rsid w:val="00A14268"/>
    <w:rsid w:val="00A21DB4"/>
    <w:rsid w:val="00A23E77"/>
    <w:rsid w:val="00A2506C"/>
    <w:rsid w:val="00A26C47"/>
    <w:rsid w:val="00A27A59"/>
    <w:rsid w:val="00A31219"/>
    <w:rsid w:val="00A3326D"/>
    <w:rsid w:val="00A33D76"/>
    <w:rsid w:val="00A36224"/>
    <w:rsid w:val="00A37252"/>
    <w:rsid w:val="00A40B47"/>
    <w:rsid w:val="00A415CD"/>
    <w:rsid w:val="00A41DAA"/>
    <w:rsid w:val="00A4277C"/>
    <w:rsid w:val="00A43049"/>
    <w:rsid w:val="00A46738"/>
    <w:rsid w:val="00A475D9"/>
    <w:rsid w:val="00A52BE2"/>
    <w:rsid w:val="00A53619"/>
    <w:rsid w:val="00A54D19"/>
    <w:rsid w:val="00A55873"/>
    <w:rsid w:val="00A55A30"/>
    <w:rsid w:val="00A600DF"/>
    <w:rsid w:val="00A60155"/>
    <w:rsid w:val="00A606EC"/>
    <w:rsid w:val="00A61B60"/>
    <w:rsid w:val="00A64DAE"/>
    <w:rsid w:val="00A67E0D"/>
    <w:rsid w:val="00A70072"/>
    <w:rsid w:val="00A71153"/>
    <w:rsid w:val="00A71FBE"/>
    <w:rsid w:val="00A73470"/>
    <w:rsid w:val="00A7697E"/>
    <w:rsid w:val="00A76AB3"/>
    <w:rsid w:val="00A76C4D"/>
    <w:rsid w:val="00A8022B"/>
    <w:rsid w:val="00A829C5"/>
    <w:rsid w:val="00A84D71"/>
    <w:rsid w:val="00A860D5"/>
    <w:rsid w:val="00A867F5"/>
    <w:rsid w:val="00A87859"/>
    <w:rsid w:val="00A90765"/>
    <w:rsid w:val="00A91272"/>
    <w:rsid w:val="00A93E20"/>
    <w:rsid w:val="00A94874"/>
    <w:rsid w:val="00A94ECA"/>
    <w:rsid w:val="00A954DB"/>
    <w:rsid w:val="00A9613A"/>
    <w:rsid w:val="00AA09C8"/>
    <w:rsid w:val="00AA0D1A"/>
    <w:rsid w:val="00AA15C1"/>
    <w:rsid w:val="00AA36F6"/>
    <w:rsid w:val="00AA38EA"/>
    <w:rsid w:val="00AA4317"/>
    <w:rsid w:val="00AA673C"/>
    <w:rsid w:val="00AB2D94"/>
    <w:rsid w:val="00AB4E14"/>
    <w:rsid w:val="00AB7174"/>
    <w:rsid w:val="00AC048C"/>
    <w:rsid w:val="00AC3853"/>
    <w:rsid w:val="00AC3893"/>
    <w:rsid w:val="00AC4273"/>
    <w:rsid w:val="00AC4E99"/>
    <w:rsid w:val="00AC6FFB"/>
    <w:rsid w:val="00AD095F"/>
    <w:rsid w:val="00AD30B6"/>
    <w:rsid w:val="00AD41F5"/>
    <w:rsid w:val="00AD594F"/>
    <w:rsid w:val="00AD5A26"/>
    <w:rsid w:val="00AD6425"/>
    <w:rsid w:val="00AD743F"/>
    <w:rsid w:val="00AD7C09"/>
    <w:rsid w:val="00AE11CF"/>
    <w:rsid w:val="00AE2815"/>
    <w:rsid w:val="00AE2847"/>
    <w:rsid w:val="00AE4671"/>
    <w:rsid w:val="00AE732D"/>
    <w:rsid w:val="00AE7A02"/>
    <w:rsid w:val="00AF0727"/>
    <w:rsid w:val="00AF2490"/>
    <w:rsid w:val="00AF294C"/>
    <w:rsid w:val="00AF3C77"/>
    <w:rsid w:val="00AF4651"/>
    <w:rsid w:val="00B045B5"/>
    <w:rsid w:val="00B04B1D"/>
    <w:rsid w:val="00B04F41"/>
    <w:rsid w:val="00B1195C"/>
    <w:rsid w:val="00B11D27"/>
    <w:rsid w:val="00B12A9F"/>
    <w:rsid w:val="00B13F3F"/>
    <w:rsid w:val="00B14700"/>
    <w:rsid w:val="00B149C2"/>
    <w:rsid w:val="00B15E9C"/>
    <w:rsid w:val="00B17E1B"/>
    <w:rsid w:val="00B2052C"/>
    <w:rsid w:val="00B20BA6"/>
    <w:rsid w:val="00B2187F"/>
    <w:rsid w:val="00B24018"/>
    <w:rsid w:val="00B35228"/>
    <w:rsid w:val="00B3620C"/>
    <w:rsid w:val="00B430BA"/>
    <w:rsid w:val="00B4331A"/>
    <w:rsid w:val="00B4410D"/>
    <w:rsid w:val="00B453D9"/>
    <w:rsid w:val="00B457D7"/>
    <w:rsid w:val="00B50728"/>
    <w:rsid w:val="00B553F4"/>
    <w:rsid w:val="00B56C85"/>
    <w:rsid w:val="00B56DA4"/>
    <w:rsid w:val="00B61F23"/>
    <w:rsid w:val="00B61F60"/>
    <w:rsid w:val="00B62690"/>
    <w:rsid w:val="00B62994"/>
    <w:rsid w:val="00B66118"/>
    <w:rsid w:val="00B71E36"/>
    <w:rsid w:val="00B72F87"/>
    <w:rsid w:val="00B74BC1"/>
    <w:rsid w:val="00B753C4"/>
    <w:rsid w:val="00B75D27"/>
    <w:rsid w:val="00B76988"/>
    <w:rsid w:val="00B81751"/>
    <w:rsid w:val="00B82B74"/>
    <w:rsid w:val="00B84C25"/>
    <w:rsid w:val="00B84E21"/>
    <w:rsid w:val="00B852CF"/>
    <w:rsid w:val="00B87532"/>
    <w:rsid w:val="00B9005E"/>
    <w:rsid w:val="00B9182F"/>
    <w:rsid w:val="00B93C50"/>
    <w:rsid w:val="00B94448"/>
    <w:rsid w:val="00B94D9D"/>
    <w:rsid w:val="00B967CC"/>
    <w:rsid w:val="00B97C64"/>
    <w:rsid w:val="00BA13EC"/>
    <w:rsid w:val="00BA201B"/>
    <w:rsid w:val="00BA2A6A"/>
    <w:rsid w:val="00BA3107"/>
    <w:rsid w:val="00BA3C6C"/>
    <w:rsid w:val="00BA4F9F"/>
    <w:rsid w:val="00BA5947"/>
    <w:rsid w:val="00BA5B12"/>
    <w:rsid w:val="00BA754E"/>
    <w:rsid w:val="00BA760D"/>
    <w:rsid w:val="00BB20BA"/>
    <w:rsid w:val="00BB2616"/>
    <w:rsid w:val="00BB31F5"/>
    <w:rsid w:val="00BB3912"/>
    <w:rsid w:val="00BB3AD1"/>
    <w:rsid w:val="00BB6947"/>
    <w:rsid w:val="00BB7024"/>
    <w:rsid w:val="00BC0AC5"/>
    <w:rsid w:val="00BC0B68"/>
    <w:rsid w:val="00BC105C"/>
    <w:rsid w:val="00BC5190"/>
    <w:rsid w:val="00BC5FBA"/>
    <w:rsid w:val="00BC6ABD"/>
    <w:rsid w:val="00BD6BF9"/>
    <w:rsid w:val="00BE1044"/>
    <w:rsid w:val="00BE130F"/>
    <w:rsid w:val="00BE4173"/>
    <w:rsid w:val="00BE51F2"/>
    <w:rsid w:val="00BE63AD"/>
    <w:rsid w:val="00BE7C5C"/>
    <w:rsid w:val="00BE7DA0"/>
    <w:rsid w:val="00BF183F"/>
    <w:rsid w:val="00BF48C3"/>
    <w:rsid w:val="00BF7EC3"/>
    <w:rsid w:val="00C03EEE"/>
    <w:rsid w:val="00C06517"/>
    <w:rsid w:val="00C07CBE"/>
    <w:rsid w:val="00C11D10"/>
    <w:rsid w:val="00C14328"/>
    <w:rsid w:val="00C14E60"/>
    <w:rsid w:val="00C24694"/>
    <w:rsid w:val="00C24D1C"/>
    <w:rsid w:val="00C26648"/>
    <w:rsid w:val="00C271D0"/>
    <w:rsid w:val="00C27C2D"/>
    <w:rsid w:val="00C27F48"/>
    <w:rsid w:val="00C31557"/>
    <w:rsid w:val="00C32292"/>
    <w:rsid w:val="00C347B2"/>
    <w:rsid w:val="00C3580B"/>
    <w:rsid w:val="00C35A1C"/>
    <w:rsid w:val="00C35C40"/>
    <w:rsid w:val="00C35FEC"/>
    <w:rsid w:val="00C361F4"/>
    <w:rsid w:val="00C372FD"/>
    <w:rsid w:val="00C44879"/>
    <w:rsid w:val="00C4622D"/>
    <w:rsid w:val="00C4649A"/>
    <w:rsid w:val="00C47B8B"/>
    <w:rsid w:val="00C50167"/>
    <w:rsid w:val="00C52C39"/>
    <w:rsid w:val="00C53EA1"/>
    <w:rsid w:val="00C54D23"/>
    <w:rsid w:val="00C54D70"/>
    <w:rsid w:val="00C54F5D"/>
    <w:rsid w:val="00C55359"/>
    <w:rsid w:val="00C5537A"/>
    <w:rsid w:val="00C55438"/>
    <w:rsid w:val="00C60537"/>
    <w:rsid w:val="00C634AA"/>
    <w:rsid w:val="00C66B60"/>
    <w:rsid w:val="00C679E5"/>
    <w:rsid w:val="00C71690"/>
    <w:rsid w:val="00C72B6B"/>
    <w:rsid w:val="00C739FF"/>
    <w:rsid w:val="00C7408C"/>
    <w:rsid w:val="00C75081"/>
    <w:rsid w:val="00C773F3"/>
    <w:rsid w:val="00C77A30"/>
    <w:rsid w:val="00C803D8"/>
    <w:rsid w:val="00C80426"/>
    <w:rsid w:val="00C8069E"/>
    <w:rsid w:val="00C80D89"/>
    <w:rsid w:val="00C812DA"/>
    <w:rsid w:val="00C816D0"/>
    <w:rsid w:val="00C81C45"/>
    <w:rsid w:val="00C82110"/>
    <w:rsid w:val="00C833A7"/>
    <w:rsid w:val="00C858C9"/>
    <w:rsid w:val="00C868DD"/>
    <w:rsid w:val="00C87757"/>
    <w:rsid w:val="00C87BFB"/>
    <w:rsid w:val="00C91960"/>
    <w:rsid w:val="00C950F7"/>
    <w:rsid w:val="00C951B2"/>
    <w:rsid w:val="00C95859"/>
    <w:rsid w:val="00C96E31"/>
    <w:rsid w:val="00C97AB7"/>
    <w:rsid w:val="00CA10E0"/>
    <w:rsid w:val="00CA12D8"/>
    <w:rsid w:val="00CA2820"/>
    <w:rsid w:val="00CA2CD5"/>
    <w:rsid w:val="00CA5926"/>
    <w:rsid w:val="00CB22FC"/>
    <w:rsid w:val="00CB36F3"/>
    <w:rsid w:val="00CC0C02"/>
    <w:rsid w:val="00CC2A03"/>
    <w:rsid w:val="00CD0603"/>
    <w:rsid w:val="00CD3C3B"/>
    <w:rsid w:val="00CD7F59"/>
    <w:rsid w:val="00CE329B"/>
    <w:rsid w:val="00CE432E"/>
    <w:rsid w:val="00CE5F44"/>
    <w:rsid w:val="00CF0F50"/>
    <w:rsid w:val="00CF2538"/>
    <w:rsid w:val="00CF320A"/>
    <w:rsid w:val="00CF60E4"/>
    <w:rsid w:val="00CF654A"/>
    <w:rsid w:val="00CF6FD7"/>
    <w:rsid w:val="00CF7329"/>
    <w:rsid w:val="00D000D9"/>
    <w:rsid w:val="00D0218B"/>
    <w:rsid w:val="00D04A6D"/>
    <w:rsid w:val="00D0565F"/>
    <w:rsid w:val="00D06BC2"/>
    <w:rsid w:val="00D11490"/>
    <w:rsid w:val="00D12B10"/>
    <w:rsid w:val="00D13766"/>
    <w:rsid w:val="00D13E22"/>
    <w:rsid w:val="00D1463E"/>
    <w:rsid w:val="00D16137"/>
    <w:rsid w:val="00D21836"/>
    <w:rsid w:val="00D24CF8"/>
    <w:rsid w:val="00D25D6E"/>
    <w:rsid w:val="00D26BD3"/>
    <w:rsid w:val="00D33209"/>
    <w:rsid w:val="00D33872"/>
    <w:rsid w:val="00D340CC"/>
    <w:rsid w:val="00D34C98"/>
    <w:rsid w:val="00D4061C"/>
    <w:rsid w:val="00D40B06"/>
    <w:rsid w:val="00D4166B"/>
    <w:rsid w:val="00D4400E"/>
    <w:rsid w:val="00D44258"/>
    <w:rsid w:val="00D45FE0"/>
    <w:rsid w:val="00D463F4"/>
    <w:rsid w:val="00D4661A"/>
    <w:rsid w:val="00D5052B"/>
    <w:rsid w:val="00D50DCF"/>
    <w:rsid w:val="00D50F0F"/>
    <w:rsid w:val="00D52DFB"/>
    <w:rsid w:val="00D56B84"/>
    <w:rsid w:val="00D56BAF"/>
    <w:rsid w:val="00D56D19"/>
    <w:rsid w:val="00D5712C"/>
    <w:rsid w:val="00D574ED"/>
    <w:rsid w:val="00D60DD7"/>
    <w:rsid w:val="00D62E75"/>
    <w:rsid w:val="00D662B4"/>
    <w:rsid w:val="00D672F2"/>
    <w:rsid w:val="00D70BBA"/>
    <w:rsid w:val="00D73D1C"/>
    <w:rsid w:val="00D80201"/>
    <w:rsid w:val="00D80C9B"/>
    <w:rsid w:val="00D823ED"/>
    <w:rsid w:val="00D82D4B"/>
    <w:rsid w:val="00D86316"/>
    <w:rsid w:val="00D8789E"/>
    <w:rsid w:val="00D87DC0"/>
    <w:rsid w:val="00D90CF4"/>
    <w:rsid w:val="00D97029"/>
    <w:rsid w:val="00D97B90"/>
    <w:rsid w:val="00DA3550"/>
    <w:rsid w:val="00DA42C8"/>
    <w:rsid w:val="00DB0D69"/>
    <w:rsid w:val="00DB1C1D"/>
    <w:rsid w:val="00DB3CB7"/>
    <w:rsid w:val="00DB4EEA"/>
    <w:rsid w:val="00DB621B"/>
    <w:rsid w:val="00DC0B65"/>
    <w:rsid w:val="00DC0E95"/>
    <w:rsid w:val="00DC1AEF"/>
    <w:rsid w:val="00DC2D0A"/>
    <w:rsid w:val="00DC333C"/>
    <w:rsid w:val="00DC55A0"/>
    <w:rsid w:val="00DC6290"/>
    <w:rsid w:val="00DC6519"/>
    <w:rsid w:val="00DD1658"/>
    <w:rsid w:val="00DD193E"/>
    <w:rsid w:val="00DD2DF9"/>
    <w:rsid w:val="00DD2E1A"/>
    <w:rsid w:val="00DD3124"/>
    <w:rsid w:val="00DD3880"/>
    <w:rsid w:val="00DD3E78"/>
    <w:rsid w:val="00DD41DC"/>
    <w:rsid w:val="00DD5060"/>
    <w:rsid w:val="00DD6328"/>
    <w:rsid w:val="00DD6361"/>
    <w:rsid w:val="00DD6BFA"/>
    <w:rsid w:val="00DD759E"/>
    <w:rsid w:val="00DE0A1D"/>
    <w:rsid w:val="00DE3A9A"/>
    <w:rsid w:val="00DE416F"/>
    <w:rsid w:val="00DE448B"/>
    <w:rsid w:val="00DE64A9"/>
    <w:rsid w:val="00DF0E6C"/>
    <w:rsid w:val="00DF35F9"/>
    <w:rsid w:val="00DF3FB6"/>
    <w:rsid w:val="00DF5BC2"/>
    <w:rsid w:val="00DF665D"/>
    <w:rsid w:val="00E0083B"/>
    <w:rsid w:val="00E00ECB"/>
    <w:rsid w:val="00E00F9D"/>
    <w:rsid w:val="00E02A22"/>
    <w:rsid w:val="00E04EE7"/>
    <w:rsid w:val="00E06EF3"/>
    <w:rsid w:val="00E101D8"/>
    <w:rsid w:val="00E10F2C"/>
    <w:rsid w:val="00E115CB"/>
    <w:rsid w:val="00E122A9"/>
    <w:rsid w:val="00E12775"/>
    <w:rsid w:val="00E137D5"/>
    <w:rsid w:val="00E275FD"/>
    <w:rsid w:val="00E27BDD"/>
    <w:rsid w:val="00E32DDF"/>
    <w:rsid w:val="00E34312"/>
    <w:rsid w:val="00E35756"/>
    <w:rsid w:val="00E35E47"/>
    <w:rsid w:val="00E36920"/>
    <w:rsid w:val="00E36F61"/>
    <w:rsid w:val="00E3724E"/>
    <w:rsid w:val="00E4046F"/>
    <w:rsid w:val="00E405A8"/>
    <w:rsid w:val="00E41F7F"/>
    <w:rsid w:val="00E4330F"/>
    <w:rsid w:val="00E44BEC"/>
    <w:rsid w:val="00E47F4C"/>
    <w:rsid w:val="00E548CC"/>
    <w:rsid w:val="00E5577F"/>
    <w:rsid w:val="00E56626"/>
    <w:rsid w:val="00E56FA1"/>
    <w:rsid w:val="00E57356"/>
    <w:rsid w:val="00E60F5E"/>
    <w:rsid w:val="00E61241"/>
    <w:rsid w:val="00E62B69"/>
    <w:rsid w:val="00E62E94"/>
    <w:rsid w:val="00E63305"/>
    <w:rsid w:val="00E63A86"/>
    <w:rsid w:val="00E6428F"/>
    <w:rsid w:val="00E646BB"/>
    <w:rsid w:val="00E66BDE"/>
    <w:rsid w:val="00E673CB"/>
    <w:rsid w:val="00E67A88"/>
    <w:rsid w:val="00E73119"/>
    <w:rsid w:val="00E74464"/>
    <w:rsid w:val="00E748CE"/>
    <w:rsid w:val="00E764B8"/>
    <w:rsid w:val="00E76721"/>
    <w:rsid w:val="00E76D36"/>
    <w:rsid w:val="00E77A80"/>
    <w:rsid w:val="00E80053"/>
    <w:rsid w:val="00E84438"/>
    <w:rsid w:val="00E8451F"/>
    <w:rsid w:val="00E848D4"/>
    <w:rsid w:val="00E86338"/>
    <w:rsid w:val="00E877DB"/>
    <w:rsid w:val="00E87D3A"/>
    <w:rsid w:val="00E91078"/>
    <w:rsid w:val="00E92480"/>
    <w:rsid w:val="00E930D6"/>
    <w:rsid w:val="00E93CFC"/>
    <w:rsid w:val="00E9543B"/>
    <w:rsid w:val="00E96F6D"/>
    <w:rsid w:val="00E97055"/>
    <w:rsid w:val="00E97090"/>
    <w:rsid w:val="00EA097E"/>
    <w:rsid w:val="00EA479A"/>
    <w:rsid w:val="00EA4C67"/>
    <w:rsid w:val="00EA6499"/>
    <w:rsid w:val="00EA69CB"/>
    <w:rsid w:val="00EB325E"/>
    <w:rsid w:val="00EB4A88"/>
    <w:rsid w:val="00EB5599"/>
    <w:rsid w:val="00EB6A05"/>
    <w:rsid w:val="00EC529E"/>
    <w:rsid w:val="00EC576D"/>
    <w:rsid w:val="00EC6AA8"/>
    <w:rsid w:val="00EC7A09"/>
    <w:rsid w:val="00ED2D94"/>
    <w:rsid w:val="00ED41BE"/>
    <w:rsid w:val="00ED5732"/>
    <w:rsid w:val="00ED6838"/>
    <w:rsid w:val="00EE449C"/>
    <w:rsid w:val="00EE682C"/>
    <w:rsid w:val="00EF0B0C"/>
    <w:rsid w:val="00EF0EF3"/>
    <w:rsid w:val="00EF3DC4"/>
    <w:rsid w:val="00EF7292"/>
    <w:rsid w:val="00F00C92"/>
    <w:rsid w:val="00F02428"/>
    <w:rsid w:val="00F02EAA"/>
    <w:rsid w:val="00F063AF"/>
    <w:rsid w:val="00F067B9"/>
    <w:rsid w:val="00F06908"/>
    <w:rsid w:val="00F0721E"/>
    <w:rsid w:val="00F120C1"/>
    <w:rsid w:val="00F140B8"/>
    <w:rsid w:val="00F15CF9"/>
    <w:rsid w:val="00F17C81"/>
    <w:rsid w:val="00F20326"/>
    <w:rsid w:val="00F2181A"/>
    <w:rsid w:val="00F23812"/>
    <w:rsid w:val="00F24EB5"/>
    <w:rsid w:val="00F25257"/>
    <w:rsid w:val="00F27ED2"/>
    <w:rsid w:val="00F30020"/>
    <w:rsid w:val="00F30FA1"/>
    <w:rsid w:val="00F31B23"/>
    <w:rsid w:val="00F3204B"/>
    <w:rsid w:val="00F33C60"/>
    <w:rsid w:val="00F354B2"/>
    <w:rsid w:val="00F3620E"/>
    <w:rsid w:val="00F40925"/>
    <w:rsid w:val="00F41C71"/>
    <w:rsid w:val="00F45468"/>
    <w:rsid w:val="00F46396"/>
    <w:rsid w:val="00F52016"/>
    <w:rsid w:val="00F53EF7"/>
    <w:rsid w:val="00F619B3"/>
    <w:rsid w:val="00F64AE6"/>
    <w:rsid w:val="00F679BF"/>
    <w:rsid w:val="00F72016"/>
    <w:rsid w:val="00F748D0"/>
    <w:rsid w:val="00F75E76"/>
    <w:rsid w:val="00F77CF8"/>
    <w:rsid w:val="00F83AD8"/>
    <w:rsid w:val="00F83C68"/>
    <w:rsid w:val="00F86A4B"/>
    <w:rsid w:val="00F872FE"/>
    <w:rsid w:val="00F900B0"/>
    <w:rsid w:val="00F9214F"/>
    <w:rsid w:val="00F958BC"/>
    <w:rsid w:val="00F97AED"/>
    <w:rsid w:val="00FA30BA"/>
    <w:rsid w:val="00FA43B5"/>
    <w:rsid w:val="00FA49E2"/>
    <w:rsid w:val="00FA6C22"/>
    <w:rsid w:val="00FA72EE"/>
    <w:rsid w:val="00FB2BB4"/>
    <w:rsid w:val="00FB3505"/>
    <w:rsid w:val="00FB3561"/>
    <w:rsid w:val="00FB3A5F"/>
    <w:rsid w:val="00FB484D"/>
    <w:rsid w:val="00FC16AF"/>
    <w:rsid w:val="00FC16BB"/>
    <w:rsid w:val="00FC1E42"/>
    <w:rsid w:val="00FC3208"/>
    <w:rsid w:val="00FC37AC"/>
    <w:rsid w:val="00FC54A9"/>
    <w:rsid w:val="00FC5AF7"/>
    <w:rsid w:val="00FC700C"/>
    <w:rsid w:val="00FC75B7"/>
    <w:rsid w:val="00FD0D64"/>
    <w:rsid w:val="00FD1647"/>
    <w:rsid w:val="00FD2E1D"/>
    <w:rsid w:val="00FD4165"/>
    <w:rsid w:val="00FD4AEE"/>
    <w:rsid w:val="00FD5C72"/>
    <w:rsid w:val="00FD6EF6"/>
    <w:rsid w:val="00FD6F44"/>
    <w:rsid w:val="00FD719C"/>
    <w:rsid w:val="00FE1DF4"/>
    <w:rsid w:val="00FE5671"/>
    <w:rsid w:val="00FF03A3"/>
    <w:rsid w:val="00FF19ED"/>
    <w:rsid w:val="00FF2722"/>
    <w:rsid w:val="00FF3869"/>
    <w:rsid w:val="00FF3E3A"/>
    <w:rsid w:val="00FF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2B271F"/>
  <w15:chartTrackingRefBased/>
  <w15:docId w15:val="{40E07899-A114-447A-A232-09E92078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E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7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7E0D"/>
    <w:pPr>
      <w:ind w:left="720"/>
      <w:contextualSpacing/>
    </w:pPr>
  </w:style>
  <w:style w:type="paragraph" w:styleId="Header">
    <w:name w:val="header"/>
    <w:basedOn w:val="Normal"/>
    <w:link w:val="HeaderChar"/>
    <w:uiPriority w:val="99"/>
    <w:unhideWhenUsed/>
    <w:rsid w:val="00A67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0D"/>
  </w:style>
  <w:style w:type="paragraph" w:styleId="Footer">
    <w:name w:val="footer"/>
    <w:basedOn w:val="Normal"/>
    <w:link w:val="FooterChar"/>
    <w:uiPriority w:val="99"/>
    <w:unhideWhenUsed/>
    <w:rsid w:val="00A67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0D"/>
  </w:style>
  <w:style w:type="paragraph" w:styleId="BalloonText">
    <w:name w:val="Balloon Text"/>
    <w:basedOn w:val="Normal"/>
    <w:link w:val="BalloonTextChar"/>
    <w:uiPriority w:val="99"/>
    <w:semiHidden/>
    <w:unhideWhenUsed/>
    <w:rsid w:val="00076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356"/>
    <w:rPr>
      <w:rFonts w:ascii="Segoe UI" w:hAnsi="Segoe UI" w:cs="Segoe UI"/>
      <w:sz w:val="18"/>
      <w:szCs w:val="18"/>
    </w:rPr>
  </w:style>
  <w:style w:type="paragraph" w:styleId="NoSpacing">
    <w:name w:val="No Spacing"/>
    <w:uiPriority w:val="1"/>
    <w:qFormat/>
    <w:rsid w:val="007A2BCF"/>
    <w:pPr>
      <w:spacing w:after="0" w:line="240" w:lineRule="auto"/>
    </w:pPr>
  </w:style>
  <w:style w:type="paragraph" w:customStyle="1" w:styleId="Default">
    <w:name w:val="Default"/>
    <w:rsid w:val="007A2BCF"/>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EA6499"/>
    <w:rPr>
      <w:sz w:val="16"/>
      <w:szCs w:val="16"/>
    </w:rPr>
  </w:style>
  <w:style w:type="paragraph" w:styleId="CommentText">
    <w:name w:val="annotation text"/>
    <w:basedOn w:val="Normal"/>
    <w:link w:val="CommentTextChar"/>
    <w:uiPriority w:val="99"/>
    <w:semiHidden/>
    <w:unhideWhenUsed/>
    <w:rsid w:val="00EA6499"/>
    <w:pPr>
      <w:spacing w:line="240" w:lineRule="auto"/>
    </w:pPr>
    <w:rPr>
      <w:sz w:val="20"/>
      <w:szCs w:val="20"/>
    </w:rPr>
  </w:style>
  <w:style w:type="character" w:customStyle="1" w:styleId="CommentTextChar">
    <w:name w:val="Comment Text Char"/>
    <w:basedOn w:val="DefaultParagraphFont"/>
    <w:link w:val="CommentText"/>
    <w:uiPriority w:val="99"/>
    <w:semiHidden/>
    <w:rsid w:val="00EA6499"/>
    <w:rPr>
      <w:sz w:val="20"/>
      <w:szCs w:val="20"/>
    </w:rPr>
  </w:style>
  <w:style w:type="table" w:customStyle="1" w:styleId="TableGrid1">
    <w:name w:val="Table Grid1"/>
    <w:basedOn w:val="TableNormal"/>
    <w:next w:val="TableGrid"/>
    <w:uiPriority w:val="39"/>
    <w:rsid w:val="00811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1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Updated 4.18.2018</vt:lpstr>
    </vt:vector>
  </TitlesOfParts>
  <Company>Microsoft</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4.18.2018</dc:title>
  <dc:subject>Page</dc:subject>
  <dc:creator>Megan Fujita</dc:creator>
  <cp:keywords/>
  <dc:description/>
  <cp:lastModifiedBy>Anna R. Holster</cp:lastModifiedBy>
  <cp:revision>2</cp:revision>
  <cp:lastPrinted>2016-10-20T19:58:00Z</cp:lastPrinted>
  <dcterms:created xsi:type="dcterms:W3CDTF">2019-06-13T20:21:00Z</dcterms:created>
  <dcterms:modified xsi:type="dcterms:W3CDTF">2019-06-13T20:21:00Z</dcterms:modified>
</cp:coreProperties>
</file>