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68DF" w14:textId="77777777" w:rsidR="00D559C1" w:rsidRPr="00D559C1" w:rsidRDefault="00540C64" w:rsidP="00540C64">
      <w:pPr>
        <w:jc w:val="center"/>
        <w:rPr>
          <w:rFonts w:ascii="Arial" w:hAnsi="Arial" w:cs="Arial"/>
          <w:b/>
        </w:rPr>
      </w:pPr>
      <w:r w:rsidRPr="00D559C1">
        <w:rPr>
          <w:rFonts w:ascii="Arial" w:hAnsi="Arial" w:cs="Arial"/>
          <w:b/>
        </w:rPr>
        <w:t>Reaffirmation Fees and Related Expenses</w:t>
      </w:r>
    </w:p>
    <w:p w14:paraId="58C5189D" w14:textId="6C56F3BF" w:rsidR="00540C64" w:rsidRDefault="00540C64" w:rsidP="00540C64">
      <w:pPr>
        <w:jc w:val="center"/>
        <w:rPr>
          <w:rFonts w:ascii="Arial" w:hAnsi="Arial" w:cs="Arial"/>
          <w:sz w:val="22"/>
          <w:szCs w:val="22"/>
        </w:rPr>
      </w:pPr>
      <w:r w:rsidRPr="00D559C1">
        <w:rPr>
          <w:rFonts w:ascii="Arial" w:hAnsi="Arial" w:cs="Arial"/>
          <w:b/>
          <w:sz w:val="21"/>
          <w:szCs w:val="21"/>
        </w:rPr>
        <w:t xml:space="preserve"> </w:t>
      </w:r>
      <w:r w:rsidRPr="00D559C1">
        <w:rPr>
          <w:rFonts w:ascii="Arial" w:hAnsi="Arial" w:cs="Arial"/>
          <w:sz w:val="22"/>
          <w:szCs w:val="22"/>
        </w:rPr>
        <w:t>Council on Social Work Education</w:t>
      </w:r>
    </w:p>
    <w:p w14:paraId="5ED1DDE5" w14:textId="6E9D2491" w:rsidR="00007BC1" w:rsidRPr="00D559C1" w:rsidRDefault="00007BC1" w:rsidP="00540C64">
      <w:pPr>
        <w:jc w:val="center"/>
        <w:rPr>
          <w:rFonts w:ascii="Arial" w:hAnsi="Arial" w:cs="Arial"/>
          <w:sz w:val="22"/>
          <w:szCs w:val="22"/>
        </w:rPr>
      </w:pPr>
      <w:r>
        <w:rPr>
          <w:rFonts w:ascii="Arial" w:hAnsi="Arial" w:cs="Arial"/>
          <w:sz w:val="22"/>
          <w:szCs w:val="22"/>
        </w:rPr>
        <w:t xml:space="preserve">Department of Social Work Accreditation </w:t>
      </w:r>
    </w:p>
    <w:p w14:paraId="1C4E2491" w14:textId="77777777" w:rsidR="00540C64" w:rsidRPr="00D559C1" w:rsidRDefault="00540C64" w:rsidP="00540C64">
      <w:pPr>
        <w:jc w:val="center"/>
        <w:rPr>
          <w:rFonts w:ascii="Arial" w:hAnsi="Arial" w:cs="Arial"/>
          <w:sz w:val="22"/>
          <w:szCs w:val="22"/>
        </w:rPr>
      </w:pPr>
      <w:r w:rsidRPr="00D559C1">
        <w:rPr>
          <w:rFonts w:ascii="Arial" w:hAnsi="Arial" w:cs="Arial"/>
          <w:sz w:val="22"/>
          <w:szCs w:val="22"/>
        </w:rPr>
        <w:t>Commission on Accreditation</w:t>
      </w:r>
    </w:p>
    <w:p w14:paraId="7CDD86DE" w14:textId="77777777" w:rsidR="00540C64" w:rsidRDefault="00540C64" w:rsidP="00540C64">
      <w:pPr>
        <w:rPr>
          <w:rFonts w:ascii="Arial" w:hAnsi="Arial" w:cs="Arial"/>
          <w:sz w:val="21"/>
          <w:szCs w:val="21"/>
        </w:rPr>
      </w:pPr>
    </w:p>
    <w:p w14:paraId="598BFBB1" w14:textId="77777777" w:rsidR="00D559C1" w:rsidRPr="00D559C1" w:rsidRDefault="00D559C1" w:rsidP="00540C64">
      <w:pPr>
        <w:rPr>
          <w:rFonts w:ascii="Arial" w:hAnsi="Arial" w:cs="Arial"/>
          <w:sz w:val="21"/>
          <w:szCs w:val="21"/>
        </w:rPr>
      </w:pPr>
    </w:p>
    <w:p w14:paraId="6A4397AE" w14:textId="5F263D45" w:rsidR="00540C64" w:rsidRPr="00D559C1" w:rsidRDefault="00540C64" w:rsidP="00540C64">
      <w:pPr>
        <w:rPr>
          <w:rFonts w:ascii="Arial" w:hAnsi="Arial" w:cs="Arial"/>
          <w:sz w:val="21"/>
          <w:szCs w:val="21"/>
        </w:rPr>
      </w:pPr>
      <w:r w:rsidRPr="00D559C1">
        <w:rPr>
          <w:rFonts w:ascii="Arial" w:hAnsi="Arial" w:cs="Arial"/>
          <w:sz w:val="21"/>
          <w:szCs w:val="21"/>
        </w:rPr>
        <w:t xml:space="preserve">There are </w:t>
      </w:r>
      <w:r w:rsidR="00D559C1">
        <w:rPr>
          <w:rFonts w:ascii="Arial" w:hAnsi="Arial" w:cs="Arial"/>
          <w:sz w:val="21"/>
          <w:szCs w:val="21"/>
        </w:rPr>
        <w:t>6</w:t>
      </w:r>
      <w:r w:rsidRPr="00D559C1">
        <w:rPr>
          <w:rFonts w:ascii="Arial" w:hAnsi="Arial" w:cs="Arial"/>
          <w:sz w:val="21"/>
          <w:szCs w:val="21"/>
        </w:rPr>
        <w:t xml:space="preserve"> costs associated with the </w:t>
      </w:r>
      <w:r w:rsidR="00D559C1">
        <w:rPr>
          <w:rFonts w:ascii="Arial" w:hAnsi="Arial" w:cs="Arial"/>
          <w:sz w:val="21"/>
          <w:szCs w:val="21"/>
        </w:rPr>
        <w:t>R</w:t>
      </w:r>
      <w:r w:rsidRPr="00D559C1">
        <w:rPr>
          <w:rFonts w:ascii="Arial" w:hAnsi="Arial" w:cs="Arial"/>
          <w:sz w:val="21"/>
          <w:szCs w:val="21"/>
        </w:rPr>
        <w:t xml:space="preserve">eaffirmation process.  Each is explained below.  The </w:t>
      </w:r>
      <w:r w:rsidR="00E603EB" w:rsidRPr="00D559C1">
        <w:rPr>
          <w:rFonts w:ascii="Arial" w:hAnsi="Arial" w:cs="Arial"/>
          <w:sz w:val="21"/>
          <w:szCs w:val="21"/>
        </w:rPr>
        <w:t>fees</w:t>
      </w:r>
      <w:r w:rsidRPr="00D559C1">
        <w:rPr>
          <w:rFonts w:ascii="Arial" w:hAnsi="Arial" w:cs="Arial"/>
          <w:sz w:val="21"/>
          <w:szCs w:val="21"/>
        </w:rPr>
        <w:t xml:space="preserve"> are subject to change </w:t>
      </w:r>
      <w:r w:rsidR="00E603EB" w:rsidRPr="00D559C1">
        <w:rPr>
          <w:rFonts w:ascii="Arial" w:hAnsi="Arial" w:cs="Arial"/>
          <w:sz w:val="21"/>
          <w:szCs w:val="21"/>
        </w:rPr>
        <w:t>by the Board of Directors each f</w:t>
      </w:r>
      <w:r w:rsidRPr="00D559C1">
        <w:rPr>
          <w:rFonts w:ascii="Arial" w:hAnsi="Arial" w:cs="Arial"/>
          <w:sz w:val="21"/>
          <w:szCs w:val="21"/>
        </w:rPr>
        <w:t xml:space="preserve">iscal </w:t>
      </w:r>
      <w:r w:rsidR="00E603EB" w:rsidRPr="00D559C1">
        <w:rPr>
          <w:rFonts w:ascii="Arial" w:hAnsi="Arial" w:cs="Arial"/>
          <w:sz w:val="21"/>
          <w:szCs w:val="21"/>
        </w:rPr>
        <w:t>y</w:t>
      </w:r>
      <w:r w:rsidRPr="00D559C1">
        <w:rPr>
          <w:rFonts w:ascii="Arial" w:hAnsi="Arial" w:cs="Arial"/>
          <w:sz w:val="21"/>
          <w:szCs w:val="21"/>
        </w:rPr>
        <w:t>ear. The fees below are effective from July 1, 20</w:t>
      </w:r>
      <w:r w:rsidR="003347D2">
        <w:rPr>
          <w:rFonts w:ascii="Arial" w:hAnsi="Arial" w:cs="Arial"/>
          <w:sz w:val="21"/>
          <w:szCs w:val="21"/>
        </w:rPr>
        <w:t>2</w:t>
      </w:r>
      <w:r w:rsidR="00896704">
        <w:rPr>
          <w:rFonts w:ascii="Arial" w:hAnsi="Arial" w:cs="Arial"/>
          <w:sz w:val="21"/>
          <w:szCs w:val="21"/>
        </w:rPr>
        <w:t>1</w:t>
      </w:r>
      <w:r w:rsidRPr="00D559C1">
        <w:rPr>
          <w:rFonts w:ascii="Arial" w:hAnsi="Arial" w:cs="Arial"/>
          <w:sz w:val="21"/>
          <w:szCs w:val="21"/>
        </w:rPr>
        <w:t xml:space="preserve"> to June 30, 20</w:t>
      </w:r>
      <w:r w:rsidR="00C161DB">
        <w:rPr>
          <w:rFonts w:ascii="Arial" w:hAnsi="Arial" w:cs="Arial"/>
          <w:sz w:val="21"/>
          <w:szCs w:val="21"/>
        </w:rPr>
        <w:t>2</w:t>
      </w:r>
      <w:r w:rsidR="00896704">
        <w:rPr>
          <w:rFonts w:ascii="Arial" w:hAnsi="Arial" w:cs="Arial"/>
          <w:sz w:val="21"/>
          <w:szCs w:val="21"/>
        </w:rPr>
        <w:t>2</w:t>
      </w:r>
      <w:r w:rsidRPr="00D559C1">
        <w:rPr>
          <w:rFonts w:ascii="Arial" w:hAnsi="Arial" w:cs="Arial"/>
          <w:sz w:val="21"/>
          <w:szCs w:val="21"/>
        </w:rPr>
        <w:t>.  Refer to the Timetable for Reaffirmation to determine program invoice and due dates.</w:t>
      </w:r>
    </w:p>
    <w:p w14:paraId="3E1EDB02" w14:textId="77777777" w:rsidR="00540C64" w:rsidRPr="00D559C1" w:rsidRDefault="00540C64" w:rsidP="00540C64">
      <w:pPr>
        <w:rPr>
          <w:rFonts w:ascii="Arial" w:hAnsi="Arial" w:cs="Arial"/>
          <w:sz w:val="21"/>
          <w:szCs w:val="21"/>
        </w:rPr>
      </w:pPr>
    </w:p>
    <w:p w14:paraId="40C4ABAD" w14:textId="77777777" w:rsidR="00540C64" w:rsidRPr="00D559C1" w:rsidRDefault="00540C64" w:rsidP="00540C64">
      <w:pPr>
        <w:numPr>
          <w:ilvl w:val="0"/>
          <w:numId w:val="1"/>
        </w:numPr>
        <w:rPr>
          <w:rFonts w:ascii="Arial" w:hAnsi="Arial" w:cs="Arial"/>
          <w:b/>
          <w:sz w:val="21"/>
          <w:szCs w:val="21"/>
        </w:rPr>
      </w:pPr>
      <w:r w:rsidRPr="00D559C1">
        <w:rPr>
          <w:rFonts w:ascii="Arial" w:hAnsi="Arial" w:cs="Arial"/>
          <w:b/>
          <w:sz w:val="21"/>
          <w:szCs w:val="21"/>
        </w:rPr>
        <w:t>Reaffirmation Workshop</w:t>
      </w:r>
    </w:p>
    <w:p w14:paraId="53FADE6B" w14:textId="77777777" w:rsidR="00540C64" w:rsidRPr="00D559C1" w:rsidRDefault="00540C64" w:rsidP="004B69F8">
      <w:pPr>
        <w:ind w:left="360"/>
        <w:rPr>
          <w:rFonts w:ascii="Arial" w:hAnsi="Arial" w:cs="Arial"/>
          <w:sz w:val="21"/>
          <w:szCs w:val="21"/>
        </w:rPr>
      </w:pPr>
      <w:r w:rsidRPr="00D559C1">
        <w:rPr>
          <w:rFonts w:ascii="Arial" w:hAnsi="Arial" w:cs="Arial"/>
          <w:sz w:val="21"/>
          <w:szCs w:val="21"/>
        </w:rPr>
        <w:t xml:space="preserve">Two to three years prior to the COA review you </w:t>
      </w:r>
      <w:r w:rsidR="00E32F08" w:rsidRPr="00D559C1">
        <w:rPr>
          <w:rFonts w:ascii="Arial" w:hAnsi="Arial" w:cs="Arial"/>
          <w:sz w:val="21"/>
          <w:szCs w:val="21"/>
        </w:rPr>
        <w:t>should plan</w:t>
      </w:r>
      <w:r w:rsidRPr="00D559C1">
        <w:rPr>
          <w:rFonts w:ascii="Arial" w:hAnsi="Arial" w:cs="Arial"/>
          <w:sz w:val="21"/>
          <w:szCs w:val="21"/>
        </w:rPr>
        <w:t xml:space="preserve"> to attend a workshop on the reaffirmation process.  For more information</w:t>
      </w:r>
      <w:r w:rsidR="00E32F08" w:rsidRPr="00D559C1">
        <w:rPr>
          <w:rFonts w:ascii="Arial" w:hAnsi="Arial" w:cs="Arial"/>
          <w:sz w:val="21"/>
          <w:szCs w:val="21"/>
        </w:rPr>
        <w:t>,</w:t>
      </w:r>
      <w:r w:rsidRPr="00D559C1">
        <w:rPr>
          <w:rFonts w:ascii="Arial" w:hAnsi="Arial" w:cs="Arial"/>
          <w:sz w:val="21"/>
          <w:szCs w:val="21"/>
        </w:rPr>
        <w:t xml:space="preserve"> </w:t>
      </w:r>
      <w:r w:rsidR="00E32F08" w:rsidRPr="00D559C1">
        <w:rPr>
          <w:rFonts w:ascii="Arial" w:hAnsi="Arial" w:cs="Arial"/>
          <w:sz w:val="21"/>
          <w:szCs w:val="21"/>
        </w:rPr>
        <w:t>visit</w:t>
      </w:r>
      <w:r w:rsidRPr="00D559C1">
        <w:rPr>
          <w:rFonts w:ascii="Arial" w:hAnsi="Arial" w:cs="Arial"/>
          <w:sz w:val="21"/>
          <w:szCs w:val="21"/>
        </w:rPr>
        <w:t xml:space="preserve"> </w:t>
      </w:r>
      <w:hyperlink r:id="rId7" w:history="1">
        <w:r w:rsidR="00E32F08" w:rsidRPr="00D559C1">
          <w:rPr>
            <w:rStyle w:val="Hyperlink"/>
            <w:rFonts w:ascii="Arial" w:hAnsi="Arial" w:cs="Arial"/>
            <w:sz w:val="21"/>
            <w:szCs w:val="21"/>
          </w:rPr>
          <w:t>https://learningacademy.cswe.org/products/2015-epas-reaffirmation-training</w:t>
        </w:r>
      </w:hyperlink>
      <w:r w:rsidR="00E32F08" w:rsidRPr="00D559C1">
        <w:rPr>
          <w:rFonts w:ascii="Arial" w:hAnsi="Arial" w:cs="Arial"/>
          <w:sz w:val="21"/>
          <w:szCs w:val="21"/>
        </w:rPr>
        <w:t>.</w:t>
      </w:r>
    </w:p>
    <w:p w14:paraId="5A338F27" w14:textId="77777777" w:rsidR="00540C64" w:rsidRPr="00D559C1" w:rsidRDefault="00540C64" w:rsidP="00540C64">
      <w:pPr>
        <w:rPr>
          <w:rFonts w:ascii="Arial" w:hAnsi="Arial" w:cs="Arial"/>
          <w:sz w:val="21"/>
          <w:szCs w:val="21"/>
        </w:rPr>
      </w:pPr>
    </w:p>
    <w:p w14:paraId="0707B4AC" w14:textId="77777777" w:rsidR="00540C64" w:rsidRPr="00D559C1" w:rsidRDefault="00540C64" w:rsidP="00540C64">
      <w:pPr>
        <w:numPr>
          <w:ilvl w:val="0"/>
          <w:numId w:val="1"/>
        </w:numPr>
        <w:rPr>
          <w:rFonts w:ascii="Arial" w:hAnsi="Arial" w:cs="Arial"/>
          <w:sz w:val="21"/>
          <w:szCs w:val="21"/>
        </w:rPr>
      </w:pPr>
      <w:r w:rsidRPr="00D559C1">
        <w:rPr>
          <w:rFonts w:ascii="Arial" w:hAnsi="Arial" w:cs="Arial"/>
          <w:b/>
          <w:sz w:val="21"/>
          <w:szCs w:val="21"/>
        </w:rPr>
        <w:t>Reaffirmation Eligibility Fee</w:t>
      </w:r>
    </w:p>
    <w:p w14:paraId="4DAAD45E" w14:textId="77777777" w:rsidR="00540C64" w:rsidRPr="00D559C1" w:rsidRDefault="00540C64" w:rsidP="004B69F8">
      <w:pPr>
        <w:ind w:left="360"/>
        <w:rPr>
          <w:rFonts w:ascii="Arial" w:hAnsi="Arial" w:cs="Arial"/>
          <w:sz w:val="21"/>
          <w:szCs w:val="21"/>
        </w:rPr>
      </w:pPr>
      <w:r w:rsidRPr="00D559C1">
        <w:rPr>
          <w:rFonts w:ascii="Arial" w:hAnsi="Arial" w:cs="Arial"/>
          <w:sz w:val="21"/>
          <w:szCs w:val="21"/>
        </w:rPr>
        <w:t>The reaffirmation eligibility fee covers staff time to review and approve the materials submitted to determine institutional eligibility for the reaffirmation of the social work program’s accreditation status.</w:t>
      </w:r>
    </w:p>
    <w:p w14:paraId="3C307F05" w14:textId="51E4BAAC" w:rsidR="00540C64" w:rsidRPr="004B69F8" w:rsidRDefault="00540C64" w:rsidP="004B69F8">
      <w:pPr>
        <w:pStyle w:val="ListParagraph"/>
        <w:numPr>
          <w:ilvl w:val="0"/>
          <w:numId w:val="2"/>
        </w:numPr>
        <w:rPr>
          <w:rFonts w:ascii="Arial" w:hAnsi="Arial" w:cs="Arial"/>
          <w:sz w:val="21"/>
          <w:szCs w:val="21"/>
        </w:rPr>
      </w:pPr>
      <w:r w:rsidRPr="004B69F8">
        <w:rPr>
          <w:rFonts w:ascii="Arial" w:hAnsi="Arial" w:cs="Arial"/>
          <w:sz w:val="21"/>
          <w:szCs w:val="21"/>
        </w:rPr>
        <w:t>Single Baccalaureate or Master’s Program</w:t>
      </w:r>
      <w:r w:rsidRPr="004B69F8">
        <w:rPr>
          <w:rFonts w:ascii="Arial" w:hAnsi="Arial" w:cs="Arial"/>
          <w:sz w:val="21"/>
          <w:szCs w:val="21"/>
        </w:rPr>
        <w:tab/>
        <w:t xml:space="preserve"> </w:t>
      </w:r>
      <w:r w:rsidRPr="004B69F8">
        <w:rPr>
          <w:rFonts w:ascii="Arial" w:hAnsi="Arial" w:cs="Arial"/>
          <w:sz w:val="21"/>
          <w:szCs w:val="21"/>
        </w:rPr>
        <w:tab/>
        <w:t>$1,</w:t>
      </w:r>
      <w:r w:rsidR="00E32F08" w:rsidRPr="004B69F8">
        <w:rPr>
          <w:rFonts w:ascii="Arial" w:hAnsi="Arial" w:cs="Arial"/>
          <w:sz w:val="21"/>
          <w:szCs w:val="21"/>
        </w:rPr>
        <w:t>50</w:t>
      </w:r>
      <w:r w:rsidRPr="004B69F8">
        <w:rPr>
          <w:rFonts w:ascii="Arial" w:hAnsi="Arial" w:cs="Arial"/>
          <w:sz w:val="21"/>
          <w:szCs w:val="21"/>
        </w:rPr>
        <w:t>0</w:t>
      </w:r>
    </w:p>
    <w:p w14:paraId="2B85A774" w14:textId="4E33AB1C" w:rsidR="00540C64" w:rsidRPr="004B69F8" w:rsidRDefault="00540C64" w:rsidP="004B69F8">
      <w:pPr>
        <w:pStyle w:val="ListParagraph"/>
        <w:numPr>
          <w:ilvl w:val="0"/>
          <w:numId w:val="3"/>
        </w:numPr>
        <w:rPr>
          <w:rFonts w:ascii="Arial" w:hAnsi="Arial" w:cs="Arial"/>
          <w:sz w:val="21"/>
          <w:szCs w:val="21"/>
        </w:rPr>
      </w:pPr>
      <w:r w:rsidRPr="004B69F8">
        <w:rPr>
          <w:rFonts w:ascii="Arial" w:hAnsi="Arial" w:cs="Arial"/>
          <w:sz w:val="21"/>
          <w:szCs w:val="21"/>
        </w:rPr>
        <w:t>Both Baccalaur</w:t>
      </w:r>
      <w:r w:rsidR="00E32F08" w:rsidRPr="004B69F8">
        <w:rPr>
          <w:rFonts w:ascii="Arial" w:hAnsi="Arial" w:cs="Arial"/>
          <w:sz w:val="21"/>
          <w:szCs w:val="21"/>
        </w:rPr>
        <w:t>eate and Master’s Programs</w:t>
      </w:r>
      <w:r w:rsidR="00E32F08" w:rsidRPr="004B69F8">
        <w:rPr>
          <w:rFonts w:ascii="Arial" w:hAnsi="Arial" w:cs="Arial"/>
          <w:sz w:val="21"/>
          <w:szCs w:val="21"/>
        </w:rPr>
        <w:tab/>
        <w:t>$3,00</w:t>
      </w:r>
      <w:r w:rsidRPr="004B69F8">
        <w:rPr>
          <w:rFonts w:ascii="Arial" w:hAnsi="Arial" w:cs="Arial"/>
          <w:sz w:val="21"/>
          <w:szCs w:val="21"/>
        </w:rPr>
        <w:t>0</w:t>
      </w:r>
    </w:p>
    <w:p w14:paraId="4175CF4D" w14:textId="0F05023E" w:rsidR="00540C64" w:rsidRPr="004B69F8" w:rsidRDefault="00540C64" w:rsidP="004B69F8">
      <w:pPr>
        <w:pStyle w:val="ListParagraph"/>
        <w:numPr>
          <w:ilvl w:val="0"/>
          <w:numId w:val="3"/>
        </w:numPr>
        <w:rPr>
          <w:rFonts w:ascii="Arial" w:hAnsi="Arial" w:cs="Arial"/>
          <w:sz w:val="21"/>
          <w:szCs w:val="21"/>
        </w:rPr>
      </w:pPr>
      <w:r w:rsidRPr="004B69F8">
        <w:rPr>
          <w:rFonts w:ascii="Arial" w:hAnsi="Arial" w:cs="Arial"/>
          <w:sz w:val="21"/>
          <w:szCs w:val="21"/>
        </w:rPr>
        <w:t>Collaborative Program</w:t>
      </w:r>
      <w:r w:rsidRPr="004B69F8">
        <w:rPr>
          <w:rFonts w:ascii="Arial" w:hAnsi="Arial" w:cs="Arial"/>
          <w:sz w:val="21"/>
          <w:szCs w:val="21"/>
        </w:rPr>
        <w:tab/>
      </w:r>
      <w:r w:rsidRPr="004B69F8">
        <w:rPr>
          <w:rFonts w:ascii="Arial" w:hAnsi="Arial" w:cs="Arial"/>
          <w:sz w:val="21"/>
          <w:szCs w:val="21"/>
        </w:rPr>
        <w:tab/>
      </w:r>
      <w:r w:rsidRPr="004B69F8">
        <w:rPr>
          <w:rFonts w:ascii="Arial" w:hAnsi="Arial" w:cs="Arial"/>
          <w:sz w:val="21"/>
          <w:szCs w:val="21"/>
        </w:rPr>
        <w:tab/>
      </w:r>
      <w:r w:rsidRPr="004B69F8">
        <w:rPr>
          <w:rFonts w:ascii="Arial" w:hAnsi="Arial" w:cs="Arial"/>
          <w:sz w:val="21"/>
          <w:szCs w:val="21"/>
        </w:rPr>
        <w:tab/>
      </w:r>
      <w:r w:rsidR="00E32F08" w:rsidRPr="004B69F8">
        <w:rPr>
          <w:rFonts w:ascii="Arial" w:hAnsi="Arial" w:cs="Arial"/>
          <w:sz w:val="21"/>
          <w:szCs w:val="21"/>
        </w:rPr>
        <w:t>$3,00</w:t>
      </w:r>
      <w:r w:rsidRPr="004B69F8">
        <w:rPr>
          <w:rFonts w:ascii="Arial" w:hAnsi="Arial" w:cs="Arial"/>
          <w:sz w:val="21"/>
          <w:szCs w:val="21"/>
        </w:rPr>
        <w:t>0</w:t>
      </w:r>
    </w:p>
    <w:p w14:paraId="5F9EA5B9" w14:textId="77777777" w:rsidR="00540C64" w:rsidRPr="00D559C1" w:rsidRDefault="00540C64" w:rsidP="00540C64">
      <w:pPr>
        <w:rPr>
          <w:rFonts w:ascii="Arial" w:hAnsi="Arial" w:cs="Arial"/>
          <w:sz w:val="21"/>
          <w:szCs w:val="21"/>
        </w:rPr>
      </w:pPr>
    </w:p>
    <w:p w14:paraId="6448817F" w14:textId="77777777" w:rsidR="00540C64" w:rsidRPr="00D559C1" w:rsidRDefault="00540C64" w:rsidP="00540C64">
      <w:pPr>
        <w:numPr>
          <w:ilvl w:val="0"/>
          <w:numId w:val="1"/>
        </w:numPr>
        <w:rPr>
          <w:rFonts w:ascii="Arial" w:hAnsi="Arial" w:cs="Arial"/>
          <w:b/>
          <w:sz w:val="21"/>
          <w:szCs w:val="21"/>
        </w:rPr>
      </w:pPr>
      <w:r w:rsidRPr="00D559C1">
        <w:rPr>
          <w:rFonts w:ascii="Arial" w:hAnsi="Arial" w:cs="Arial"/>
          <w:b/>
          <w:sz w:val="21"/>
          <w:szCs w:val="21"/>
        </w:rPr>
        <w:t>Reaffirmation Fee</w:t>
      </w:r>
    </w:p>
    <w:p w14:paraId="4C9CD66E" w14:textId="77777777" w:rsidR="00540C64" w:rsidRPr="00D559C1" w:rsidRDefault="00540C64" w:rsidP="00D03939">
      <w:pPr>
        <w:ind w:left="360"/>
        <w:rPr>
          <w:rFonts w:ascii="Arial" w:hAnsi="Arial" w:cs="Arial"/>
          <w:b/>
          <w:sz w:val="21"/>
          <w:szCs w:val="21"/>
        </w:rPr>
      </w:pPr>
      <w:r w:rsidRPr="00D559C1">
        <w:rPr>
          <w:rFonts w:ascii="Arial" w:hAnsi="Arial" w:cs="Arial"/>
          <w:sz w:val="21"/>
          <w:szCs w:val="21"/>
        </w:rPr>
        <w:t>The reaffirmation fee covers staff and commissioner expenses related to processing and assessing the documents associated with determining the program’s compliance with the Educational Policy and Accreditation Standards (</w:t>
      </w:r>
      <w:r w:rsidRPr="00D559C1">
        <w:rPr>
          <w:rFonts w:ascii="Arial" w:hAnsi="Arial" w:cs="Arial"/>
          <w:b/>
          <w:sz w:val="21"/>
          <w:szCs w:val="21"/>
        </w:rPr>
        <w:t>EPAS</w:t>
      </w:r>
      <w:r w:rsidRPr="00D559C1">
        <w:rPr>
          <w:rFonts w:ascii="Arial" w:hAnsi="Arial" w:cs="Arial"/>
          <w:sz w:val="21"/>
          <w:szCs w:val="21"/>
        </w:rPr>
        <w:t>).</w:t>
      </w:r>
    </w:p>
    <w:p w14:paraId="688288F0" w14:textId="202CE61F" w:rsidR="00540C64" w:rsidRPr="004B69F8" w:rsidRDefault="00540C64" w:rsidP="004B69F8">
      <w:pPr>
        <w:pStyle w:val="ListParagraph"/>
        <w:numPr>
          <w:ilvl w:val="0"/>
          <w:numId w:val="4"/>
        </w:numPr>
        <w:rPr>
          <w:rFonts w:ascii="Arial" w:hAnsi="Arial" w:cs="Arial"/>
          <w:sz w:val="21"/>
          <w:szCs w:val="21"/>
        </w:rPr>
      </w:pPr>
      <w:r w:rsidRPr="004B69F8">
        <w:rPr>
          <w:rFonts w:ascii="Arial" w:hAnsi="Arial" w:cs="Arial"/>
          <w:sz w:val="21"/>
          <w:szCs w:val="21"/>
        </w:rPr>
        <w:t>Single Baccalaureate or Master’s Program</w:t>
      </w:r>
      <w:r w:rsidRPr="004B69F8">
        <w:rPr>
          <w:rFonts w:ascii="Arial" w:hAnsi="Arial" w:cs="Arial"/>
          <w:sz w:val="21"/>
          <w:szCs w:val="21"/>
        </w:rPr>
        <w:tab/>
        <w:t xml:space="preserve"> </w:t>
      </w:r>
      <w:r w:rsidRPr="004B69F8">
        <w:rPr>
          <w:rFonts w:ascii="Arial" w:hAnsi="Arial" w:cs="Arial"/>
          <w:sz w:val="21"/>
          <w:szCs w:val="21"/>
        </w:rPr>
        <w:tab/>
        <w:t>$3,</w:t>
      </w:r>
      <w:r w:rsidR="00E32F08" w:rsidRPr="004B69F8">
        <w:rPr>
          <w:rFonts w:ascii="Arial" w:hAnsi="Arial" w:cs="Arial"/>
          <w:sz w:val="21"/>
          <w:szCs w:val="21"/>
        </w:rPr>
        <w:t>500</w:t>
      </w:r>
    </w:p>
    <w:p w14:paraId="72CC55F2" w14:textId="21129A69" w:rsidR="00540C64" w:rsidRPr="004B69F8" w:rsidRDefault="00540C64" w:rsidP="004B69F8">
      <w:pPr>
        <w:pStyle w:val="ListParagraph"/>
        <w:numPr>
          <w:ilvl w:val="0"/>
          <w:numId w:val="4"/>
        </w:numPr>
        <w:rPr>
          <w:rFonts w:ascii="Arial" w:hAnsi="Arial" w:cs="Arial"/>
          <w:sz w:val="21"/>
          <w:szCs w:val="21"/>
        </w:rPr>
      </w:pPr>
      <w:r w:rsidRPr="004B69F8">
        <w:rPr>
          <w:rFonts w:ascii="Arial" w:hAnsi="Arial" w:cs="Arial"/>
          <w:sz w:val="21"/>
          <w:szCs w:val="21"/>
        </w:rPr>
        <w:t>Both Baccalaureate and Master’s Programs</w:t>
      </w:r>
      <w:r w:rsidRPr="004B69F8">
        <w:rPr>
          <w:rFonts w:ascii="Arial" w:hAnsi="Arial" w:cs="Arial"/>
          <w:sz w:val="21"/>
          <w:szCs w:val="21"/>
        </w:rPr>
        <w:tab/>
        <w:t>$</w:t>
      </w:r>
      <w:r w:rsidR="00E32F08" w:rsidRPr="004B69F8">
        <w:rPr>
          <w:rFonts w:ascii="Arial" w:hAnsi="Arial" w:cs="Arial"/>
          <w:sz w:val="21"/>
          <w:szCs w:val="21"/>
        </w:rPr>
        <w:t>7,000</w:t>
      </w:r>
    </w:p>
    <w:p w14:paraId="240A214C" w14:textId="61BA7CD1" w:rsidR="00540C64" w:rsidRPr="004B69F8" w:rsidRDefault="00540C64" w:rsidP="004B69F8">
      <w:pPr>
        <w:pStyle w:val="ListParagraph"/>
        <w:numPr>
          <w:ilvl w:val="0"/>
          <w:numId w:val="4"/>
        </w:numPr>
        <w:rPr>
          <w:rFonts w:ascii="Arial" w:hAnsi="Arial" w:cs="Arial"/>
          <w:sz w:val="21"/>
          <w:szCs w:val="21"/>
        </w:rPr>
      </w:pPr>
      <w:r w:rsidRPr="004B69F8">
        <w:rPr>
          <w:rFonts w:ascii="Arial" w:hAnsi="Arial" w:cs="Arial"/>
          <w:sz w:val="21"/>
          <w:szCs w:val="21"/>
        </w:rPr>
        <w:t>Collaborative Program</w:t>
      </w:r>
      <w:r w:rsidRPr="004B69F8">
        <w:rPr>
          <w:rFonts w:ascii="Arial" w:hAnsi="Arial" w:cs="Arial"/>
          <w:sz w:val="21"/>
          <w:szCs w:val="21"/>
        </w:rPr>
        <w:tab/>
      </w:r>
      <w:r w:rsidRPr="004B69F8">
        <w:rPr>
          <w:rFonts w:ascii="Arial" w:hAnsi="Arial" w:cs="Arial"/>
          <w:sz w:val="21"/>
          <w:szCs w:val="21"/>
        </w:rPr>
        <w:tab/>
      </w:r>
      <w:r w:rsidRPr="004B69F8">
        <w:rPr>
          <w:rFonts w:ascii="Arial" w:hAnsi="Arial" w:cs="Arial"/>
          <w:sz w:val="21"/>
          <w:szCs w:val="21"/>
        </w:rPr>
        <w:tab/>
      </w:r>
      <w:r w:rsidRPr="004B69F8">
        <w:rPr>
          <w:rFonts w:ascii="Arial" w:hAnsi="Arial" w:cs="Arial"/>
          <w:sz w:val="21"/>
          <w:szCs w:val="21"/>
        </w:rPr>
        <w:tab/>
        <w:t>$</w:t>
      </w:r>
      <w:r w:rsidR="00E32F08" w:rsidRPr="004B69F8">
        <w:rPr>
          <w:rFonts w:ascii="Arial" w:hAnsi="Arial" w:cs="Arial"/>
          <w:sz w:val="21"/>
          <w:szCs w:val="21"/>
        </w:rPr>
        <w:t>7,000</w:t>
      </w:r>
    </w:p>
    <w:p w14:paraId="33AC282B" w14:textId="77777777" w:rsidR="00540C64" w:rsidRPr="00D559C1" w:rsidRDefault="00540C64" w:rsidP="00540C64">
      <w:pPr>
        <w:rPr>
          <w:rFonts w:ascii="Arial" w:hAnsi="Arial" w:cs="Arial"/>
          <w:sz w:val="21"/>
          <w:szCs w:val="21"/>
        </w:rPr>
      </w:pPr>
    </w:p>
    <w:p w14:paraId="6E8DBF01" w14:textId="77777777" w:rsidR="00540C64" w:rsidRPr="00D559C1" w:rsidRDefault="00540C64" w:rsidP="00540C64">
      <w:pPr>
        <w:rPr>
          <w:rFonts w:ascii="Arial" w:hAnsi="Arial" w:cs="Arial"/>
          <w:b/>
          <w:sz w:val="21"/>
          <w:szCs w:val="21"/>
        </w:rPr>
      </w:pPr>
      <w:r w:rsidRPr="00D559C1">
        <w:rPr>
          <w:rFonts w:ascii="Arial" w:hAnsi="Arial" w:cs="Arial"/>
          <w:b/>
          <w:sz w:val="21"/>
          <w:szCs w:val="21"/>
        </w:rPr>
        <w:t>4</w:t>
      </w:r>
      <w:r w:rsidR="00D559C1" w:rsidRPr="00D559C1">
        <w:rPr>
          <w:rFonts w:ascii="Arial" w:hAnsi="Arial" w:cs="Arial"/>
          <w:b/>
          <w:sz w:val="21"/>
          <w:szCs w:val="21"/>
        </w:rPr>
        <w:t xml:space="preserve">)   </w:t>
      </w:r>
      <w:r w:rsidRPr="00D559C1">
        <w:rPr>
          <w:rFonts w:ascii="Arial" w:hAnsi="Arial" w:cs="Arial"/>
          <w:b/>
          <w:sz w:val="21"/>
          <w:szCs w:val="21"/>
        </w:rPr>
        <w:t>Self</w:t>
      </w:r>
      <w:r w:rsidR="00E32F08" w:rsidRPr="00D559C1">
        <w:rPr>
          <w:rFonts w:ascii="Arial" w:hAnsi="Arial" w:cs="Arial"/>
          <w:b/>
          <w:sz w:val="21"/>
          <w:szCs w:val="21"/>
        </w:rPr>
        <w:t>-</w:t>
      </w:r>
      <w:r w:rsidRPr="00D559C1">
        <w:rPr>
          <w:rFonts w:ascii="Arial" w:hAnsi="Arial" w:cs="Arial"/>
          <w:b/>
          <w:sz w:val="21"/>
          <w:szCs w:val="21"/>
        </w:rPr>
        <w:t>Study Costs</w:t>
      </w:r>
    </w:p>
    <w:p w14:paraId="4EE56AD8" w14:textId="77777777" w:rsidR="00540C64" w:rsidRPr="00D559C1" w:rsidRDefault="00540C64" w:rsidP="00D03939">
      <w:pPr>
        <w:ind w:left="360"/>
        <w:rPr>
          <w:rFonts w:ascii="Arial" w:hAnsi="Arial" w:cs="Arial"/>
          <w:sz w:val="21"/>
          <w:szCs w:val="21"/>
        </w:rPr>
      </w:pPr>
      <w:r w:rsidRPr="00D559C1">
        <w:rPr>
          <w:rFonts w:ascii="Arial" w:hAnsi="Arial" w:cs="Arial"/>
          <w:sz w:val="21"/>
          <w:szCs w:val="21"/>
        </w:rPr>
        <w:t>Self</w:t>
      </w:r>
      <w:r w:rsidR="00E32F08" w:rsidRPr="00D559C1">
        <w:rPr>
          <w:rFonts w:ascii="Arial" w:hAnsi="Arial" w:cs="Arial"/>
          <w:sz w:val="21"/>
          <w:szCs w:val="21"/>
        </w:rPr>
        <w:t>-</w:t>
      </w:r>
      <w:r w:rsidRPr="00D559C1">
        <w:rPr>
          <w:rFonts w:ascii="Arial" w:hAnsi="Arial" w:cs="Arial"/>
          <w:sz w:val="21"/>
          <w:szCs w:val="21"/>
        </w:rPr>
        <w:t>study costs will vary by program.  Examp</w:t>
      </w:r>
      <w:r w:rsidR="00E32F08" w:rsidRPr="00D559C1">
        <w:rPr>
          <w:rFonts w:ascii="Arial" w:hAnsi="Arial" w:cs="Arial"/>
          <w:sz w:val="21"/>
          <w:szCs w:val="21"/>
        </w:rPr>
        <w:t>les of expenses include faculty-</w:t>
      </w:r>
      <w:r w:rsidRPr="00D559C1">
        <w:rPr>
          <w:rFonts w:ascii="Arial" w:hAnsi="Arial" w:cs="Arial"/>
          <w:sz w:val="21"/>
          <w:szCs w:val="21"/>
        </w:rPr>
        <w:t>assigned time, meeting expenses, printing, mailing</w:t>
      </w:r>
      <w:r w:rsidR="00E32F08" w:rsidRPr="00D559C1">
        <w:rPr>
          <w:rFonts w:ascii="Arial" w:hAnsi="Arial" w:cs="Arial"/>
          <w:sz w:val="21"/>
          <w:szCs w:val="21"/>
        </w:rPr>
        <w:t>,</w:t>
      </w:r>
      <w:r w:rsidRPr="00D559C1">
        <w:rPr>
          <w:rFonts w:ascii="Arial" w:hAnsi="Arial" w:cs="Arial"/>
          <w:sz w:val="21"/>
          <w:szCs w:val="21"/>
        </w:rPr>
        <w:t xml:space="preserve"> and other administrative costs.  </w:t>
      </w:r>
    </w:p>
    <w:p w14:paraId="5240C672" w14:textId="77777777" w:rsidR="00540C64" w:rsidRPr="00D559C1" w:rsidRDefault="00540C64" w:rsidP="00540C64">
      <w:pPr>
        <w:rPr>
          <w:rFonts w:ascii="Arial" w:hAnsi="Arial" w:cs="Arial"/>
          <w:sz w:val="21"/>
          <w:szCs w:val="21"/>
        </w:rPr>
      </w:pPr>
    </w:p>
    <w:p w14:paraId="1A09E56C" w14:textId="77777777" w:rsidR="00540C64" w:rsidRPr="00D559C1" w:rsidRDefault="00540C64" w:rsidP="00540C64">
      <w:pPr>
        <w:rPr>
          <w:rFonts w:ascii="Arial" w:hAnsi="Arial" w:cs="Arial"/>
          <w:b/>
          <w:sz w:val="21"/>
          <w:szCs w:val="21"/>
        </w:rPr>
      </w:pPr>
      <w:r w:rsidRPr="00D559C1">
        <w:rPr>
          <w:rFonts w:ascii="Arial" w:hAnsi="Arial" w:cs="Arial"/>
          <w:b/>
          <w:sz w:val="21"/>
          <w:szCs w:val="21"/>
        </w:rPr>
        <w:t xml:space="preserve">5) </w:t>
      </w:r>
      <w:r w:rsidR="00D559C1" w:rsidRPr="00D559C1">
        <w:rPr>
          <w:rFonts w:ascii="Arial" w:hAnsi="Arial" w:cs="Arial"/>
          <w:b/>
          <w:sz w:val="21"/>
          <w:szCs w:val="21"/>
        </w:rPr>
        <w:t xml:space="preserve">  </w:t>
      </w:r>
      <w:r w:rsidRPr="00D559C1">
        <w:rPr>
          <w:rFonts w:ascii="Arial" w:hAnsi="Arial" w:cs="Arial"/>
          <w:b/>
          <w:sz w:val="21"/>
          <w:szCs w:val="21"/>
        </w:rPr>
        <w:t>Site Visit Expenses</w:t>
      </w:r>
    </w:p>
    <w:p w14:paraId="08B32A31" w14:textId="76A51419" w:rsidR="00540C64" w:rsidRPr="00D559C1" w:rsidRDefault="00540C64" w:rsidP="00D03939">
      <w:pPr>
        <w:ind w:left="360"/>
        <w:rPr>
          <w:rFonts w:ascii="Arial" w:hAnsi="Arial" w:cs="Arial"/>
          <w:sz w:val="21"/>
          <w:szCs w:val="21"/>
        </w:rPr>
      </w:pPr>
      <w:r w:rsidRPr="00D559C1">
        <w:rPr>
          <w:rFonts w:ascii="Arial" w:hAnsi="Arial" w:cs="Arial"/>
          <w:sz w:val="21"/>
          <w:szCs w:val="21"/>
        </w:rPr>
        <w:t>Expenses related to the site visit itself are borne by the program.  Programs should make every effort to minimize members’ out-of-pocket expenses by providing prepaid airline tickets.  Coach fa</w:t>
      </w:r>
      <w:r w:rsidR="006A5979">
        <w:rPr>
          <w:rFonts w:ascii="Arial" w:hAnsi="Arial" w:cs="Arial"/>
          <w:sz w:val="21"/>
          <w:szCs w:val="21"/>
        </w:rPr>
        <w:t>re</w:t>
      </w:r>
      <w:r w:rsidRPr="00D559C1">
        <w:rPr>
          <w:rFonts w:ascii="Arial" w:hAnsi="Arial" w:cs="Arial"/>
          <w:sz w:val="21"/>
          <w:szCs w:val="21"/>
        </w:rPr>
        <w:t xml:space="preserve"> is expected.  Programs should arrange for the hotel to bill the program for the team’s expenses.  The only remaining expenses should be ground transportation and meals not taken at the hotel.  Programs should advise visitors about reimbursement for these items.</w:t>
      </w:r>
    </w:p>
    <w:p w14:paraId="5C6657FD" w14:textId="77777777" w:rsidR="00540C64" w:rsidRPr="00D559C1" w:rsidRDefault="00540C64" w:rsidP="00540C64">
      <w:pPr>
        <w:rPr>
          <w:rFonts w:ascii="Arial" w:hAnsi="Arial" w:cs="Arial"/>
          <w:sz w:val="21"/>
          <w:szCs w:val="21"/>
        </w:rPr>
      </w:pPr>
    </w:p>
    <w:p w14:paraId="5D4A7BF8" w14:textId="08E0D50B" w:rsidR="00540C64" w:rsidRPr="00D559C1" w:rsidRDefault="00540C64" w:rsidP="00540C64">
      <w:pPr>
        <w:rPr>
          <w:rFonts w:ascii="Arial" w:hAnsi="Arial" w:cs="Arial"/>
          <w:b/>
          <w:sz w:val="21"/>
          <w:szCs w:val="21"/>
        </w:rPr>
      </w:pPr>
      <w:r w:rsidRPr="00D559C1">
        <w:rPr>
          <w:rFonts w:ascii="Arial" w:hAnsi="Arial" w:cs="Arial"/>
          <w:b/>
          <w:sz w:val="21"/>
          <w:szCs w:val="21"/>
        </w:rPr>
        <w:t xml:space="preserve">6) </w:t>
      </w:r>
      <w:r w:rsidR="00D559C1" w:rsidRPr="00D559C1">
        <w:rPr>
          <w:rFonts w:ascii="Arial" w:hAnsi="Arial" w:cs="Arial"/>
          <w:b/>
          <w:sz w:val="21"/>
          <w:szCs w:val="21"/>
        </w:rPr>
        <w:t xml:space="preserve">  </w:t>
      </w:r>
      <w:r w:rsidRPr="00D559C1">
        <w:rPr>
          <w:rFonts w:ascii="Arial" w:hAnsi="Arial" w:cs="Arial"/>
          <w:b/>
          <w:sz w:val="21"/>
          <w:szCs w:val="21"/>
        </w:rPr>
        <w:t>Annual Program Membership Dues</w:t>
      </w:r>
    </w:p>
    <w:p w14:paraId="506B795A" w14:textId="1F2D1160" w:rsidR="00D03939" w:rsidRPr="00D03939" w:rsidRDefault="00D03939" w:rsidP="00D03939">
      <w:pPr>
        <w:ind w:left="360"/>
        <w:rPr>
          <w:rFonts w:ascii="Arial" w:hAnsi="Arial" w:cs="Arial"/>
          <w:sz w:val="21"/>
          <w:szCs w:val="21"/>
        </w:rPr>
      </w:pPr>
      <w:r>
        <w:rPr>
          <w:rFonts w:ascii="Arial" w:hAnsi="Arial" w:cs="Arial"/>
          <w:sz w:val="21"/>
          <w:szCs w:val="21"/>
        </w:rPr>
        <w:t xml:space="preserve">All accredited social work programs are required to pay annual membership dues to CSWE.  </w:t>
      </w:r>
      <w:r w:rsidR="00540C64" w:rsidRPr="00D559C1">
        <w:rPr>
          <w:rFonts w:ascii="Arial" w:hAnsi="Arial" w:cs="Arial"/>
          <w:sz w:val="21"/>
          <w:szCs w:val="21"/>
        </w:rPr>
        <w:t xml:space="preserve">Programs are invoiced each April for the following fiscal year, which begins July 1.  Invoices are due on July 1.  Program dues are assessed according to the number of graduates reported by the program in the annual CSWE statistics survey conducted each fall.  For more information on program membership dues send an email to </w:t>
      </w:r>
      <w:hyperlink r:id="rId8" w:tooltip="mailto:membership@cswe.org" w:history="1">
        <w:r w:rsidR="00540C64" w:rsidRPr="00D559C1">
          <w:rPr>
            <w:rStyle w:val="Hyperlink"/>
            <w:rFonts w:ascii="Arial" w:hAnsi="Arial" w:cs="Arial"/>
            <w:sz w:val="21"/>
            <w:szCs w:val="21"/>
          </w:rPr>
          <w:t>membership@cswe.org</w:t>
        </w:r>
      </w:hyperlink>
      <w:r>
        <w:rPr>
          <w:rStyle w:val="Hyperlink"/>
          <w:rFonts w:ascii="Arial" w:hAnsi="Arial" w:cs="Arial"/>
          <w:sz w:val="21"/>
          <w:szCs w:val="21"/>
          <w:u w:val="none"/>
        </w:rPr>
        <w:t xml:space="preserve"> </w:t>
      </w:r>
      <w:r>
        <w:rPr>
          <w:rStyle w:val="Hyperlink"/>
          <w:rFonts w:ascii="Arial" w:hAnsi="Arial" w:cs="Arial"/>
          <w:color w:val="auto"/>
          <w:sz w:val="21"/>
          <w:szCs w:val="21"/>
          <w:u w:val="none"/>
        </w:rPr>
        <w:t xml:space="preserve">or visit </w:t>
      </w:r>
      <w:hyperlink r:id="rId9" w:history="1">
        <w:r w:rsidRPr="00AF051A">
          <w:rPr>
            <w:rStyle w:val="Hyperlink"/>
            <w:rFonts w:ascii="Arial" w:hAnsi="Arial" w:cs="Arial"/>
            <w:sz w:val="21"/>
            <w:szCs w:val="21"/>
          </w:rPr>
          <w:t>https://www.cswe.org/Membership</w:t>
        </w:r>
      </w:hyperlink>
      <w:r>
        <w:rPr>
          <w:rFonts w:ascii="Arial" w:hAnsi="Arial" w:cs="Arial"/>
          <w:sz w:val="21"/>
          <w:szCs w:val="21"/>
        </w:rPr>
        <w:t xml:space="preserve">. </w:t>
      </w:r>
      <w:r w:rsidR="002E68F8">
        <w:rPr>
          <w:rStyle w:val="Hyperlink"/>
          <w:rFonts w:ascii="Arial" w:hAnsi="Arial" w:cs="Arial"/>
          <w:sz w:val="21"/>
          <w:szCs w:val="21"/>
        </w:rPr>
        <w:t xml:space="preserve"> </w:t>
      </w:r>
      <w:r w:rsidR="002E68F8">
        <w:rPr>
          <w:rFonts w:ascii="Arial" w:hAnsi="Arial" w:cs="Arial"/>
          <w:sz w:val="21"/>
          <w:szCs w:val="21"/>
        </w:rPr>
        <w:t xml:space="preserve"> </w:t>
      </w:r>
    </w:p>
    <w:sectPr w:rsidR="00D03939" w:rsidRPr="00D03939" w:rsidSect="0017183B">
      <w:footerReference w:type="default" r:id="rId10"/>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37C8" w14:textId="77777777" w:rsidR="002546BE" w:rsidRDefault="002546BE" w:rsidP="00540C64">
      <w:r>
        <w:separator/>
      </w:r>
    </w:p>
  </w:endnote>
  <w:endnote w:type="continuationSeparator" w:id="0">
    <w:p w14:paraId="64B5CD01" w14:textId="77777777" w:rsidR="002546BE" w:rsidRDefault="002546BE" w:rsidP="0054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6029" w14:textId="77777777" w:rsidR="00540C64" w:rsidRDefault="00540C64" w:rsidP="00540C64">
    <w:pPr>
      <w:pStyle w:val="Footer"/>
      <w:jc w:val="right"/>
      <w:rPr>
        <w:rFonts w:ascii="Arial" w:hAnsi="Arial" w:cs="Arial"/>
        <w:sz w:val="20"/>
        <w:szCs w:val="20"/>
      </w:rPr>
    </w:pPr>
    <w:r w:rsidRPr="009527FF">
      <w:rPr>
        <w:rFonts w:ascii="Arial" w:hAnsi="Arial" w:cs="Arial"/>
        <w:sz w:val="20"/>
        <w:szCs w:val="20"/>
      </w:rPr>
      <w:t xml:space="preserve">Page </w:t>
    </w:r>
    <w:r w:rsidRPr="009527FF">
      <w:rPr>
        <w:rFonts w:ascii="Arial" w:hAnsi="Arial" w:cs="Arial"/>
        <w:sz w:val="20"/>
        <w:szCs w:val="20"/>
      </w:rPr>
      <w:fldChar w:fldCharType="begin"/>
    </w:r>
    <w:r w:rsidRPr="009527FF">
      <w:rPr>
        <w:rFonts w:ascii="Arial" w:hAnsi="Arial" w:cs="Arial"/>
        <w:sz w:val="20"/>
        <w:szCs w:val="20"/>
      </w:rPr>
      <w:instrText xml:space="preserve"> PAGE </w:instrText>
    </w:r>
    <w:r w:rsidRPr="009527FF">
      <w:rPr>
        <w:rFonts w:ascii="Arial" w:hAnsi="Arial" w:cs="Arial"/>
        <w:sz w:val="20"/>
        <w:szCs w:val="20"/>
      </w:rPr>
      <w:fldChar w:fldCharType="separate"/>
    </w:r>
    <w:r w:rsidR="002E68F8">
      <w:rPr>
        <w:rFonts w:ascii="Arial" w:hAnsi="Arial" w:cs="Arial"/>
        <w:noProof/>
        <w:sz w:val="20"/>
        <w:szCs w:val="20"/>
      </w:rPr>
      <w:t>1</w:t>
    </w:r>
    <w:r w:rsidRPr="009527FF">
      <w:rPr>
        <w:rFonts w:ascii="Arial" w:hAnsi="Arial" w:cs="Arial"/>
        <w:sz w:val="20"/>
        <w:szCs w:val="20"/>
      </w:rPr>
      <w:fldChar w:fldCharType="end"/>
    </w:r>
    <w:r w:rsidRPr="009527FF">
      <w:rPr>
        <w:rFonts w:ascii="Arial" w:hAnsi="Arial" w:cs="Arial"/>
        <w:sz w:val="20"/>
        <w:szCs w:val="20"/>
      </w:rPr>
      <w:t xml:space="preserve"> of </w:t>
    </w:r>
    <w:r w:rsidRPr="009527FF">
      <w:rPr>
        <w:rFonts w:ascii="Arial" w:hAnsi="Arial" w:cs="Arial"/>
        <w:sz w:val="20"/>
        <w:szCs w:val="20"/>
      </w:rPr>
      <w:fldChar w:fldCharType="begin"/>
    </w:r>
    <w:r w:rsidRPr="009527FF">
      <w:rPr>
        <w:rFonts w:ascii="Arial" w:hAnsi="Arial" w:cs="Arial"/>
        <w:sz w:val="20"/>
        <w:szCs w:val="20"/>
      </w:rPr>
      <w:instrText xml:space="preserve"> NUMPAGES </w:instrText>
    </w:r>
    <w:r w:rsidRPr="009527FF">
      <w:rPr>
        <w:rFonts w:ascii="Arial" w:hAnsi="Arial" w:cs="Arial"/>
        <w:sz w:val="20"/>
        <w:szCs w:val="20"/>
      </w:rPr>
      <w:fldChar w:fldCharType="separate"/>
    </w:r>
    <w:r w:rsidR="002E68F8">
      <w:rPr>
        <w:rFonts w:ascii="Arial" w:hAnsi="Arial" w:cs="Arial"/>
        <w:noProof/>
        <w:sz w:val="20"/>
        <w:szCs w:val="20"/>
      </w:rPr>
      <w:t>1</w:t>
    </w:r>
    <w:r w:rsidRPr="009527F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0A7F" w14:textId="77777777" w:rsidR="002546BE" w:rsidRDefault="002546BE" w:rsidP="00540C64">
      <w:r>
        <w:separator/>
      </w:r>
    </w:p>
  </w:footnote>
  <w:footnote w:type="continuationSeparator" w:id="0">
    <w:p w14:paraId="55BCA468" w14:textId="77777777" w:rsidR="002546BE" w:rsidRDefault="002546BE" w:rsidP="0054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F92"/>
    <w:multiLevelType w:val="hybridMultilevel"/>
    <w:tmpl w:val="4CEE9FC4"/>
    <w:lvl w:ilvl="0" w:tplc="CD829510">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EA24B8"/>
    <w:multiLevelType w:val="hybridMultilevel"/>
    <w:tmpl w:val="FF8C30AC"/>
    <w:lvl w:ilvl="0" w:tplc="04090011">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9F96C7D"/>
    <w:multiLevelType w:val="hybridMultilevel"/>
    <w:tmpl w:val="315C0D50"/>
    <w:lvl w:ilvl="0" w:tplc="134EDB1A">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032A95"/>
    <w:multiLevelType w:val="hybridMultilevel"/>
    <w:tmpl w:val="535074DC"/>
    <w:lvl w:ilvl="0" w:tplc="96DAB2CC">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64"/>
    <w:rsid w:val="00007BC1"/>
    <w:rsid w:val="000352A9"/>
    <w:rsid w:val="000A0120"/>
    <w:rsid w:val="00195B06"/>
    <w:rsid w:val="001A64ED"/>
    <w:rsid w:val="00233C3B"/>
    <w:rsid w:val="002546BE"/>
    <w:rsid w:val="00255780"/>
    <w:rsid w:val="002E68F8"/>
    <w:rsid w:val="003347D2"/>
    <w:rsid w:val="00395E1C"/>
    <w:rsid w:val="00451DEC"/>
    <w:rsid w:val="004B69F8"/>
    <w:rsid w:val="00516D61"/>
    <w:rsid w:val="00517D18"/>
    <w:rsid w:val="00540C64"/>
    <w:rsid w:val="005A06CE"/>
    <w:rsid w:val="005E5A89"/>
    <w:rsid w:val="00602C13"/>
    <w:rsid w:val="006A5979"/>
    <w:rsid w:val="0071404E"/>
    <w:rsid w:val="00812283"/>
    <w:rsid w:val="008429BE"/>
    <w:rsid w:val="00896704"/>
    <w:rsid w:val="00996E60"/>
    <w:rsid w:val="00A052BE"/>
    <w:rsid w:val="00C161DB"/>
    <w:rsid w:val="00CD2D35"/>
    <w:rsid w:val="00D02414"/>
    <w:rsid w:val="00D03939"/>
    <w:rsid w:val="00D075B4"/>
    <w:rsid w:val="00D1579C"/>
    <w:rsid w:val="00D20F1C"/>
    <w:rsid w:val="00D559C1"/>
    <w:rsid w:val="00DA234B"/>
    <w:rsid w:val="00E32F08"/>
    <w:rsid w:val="00E35CBC"/>
    <w:rsid w:val="00E6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95B8"/>
  <w15:chartTrackingRefBased/>
  <w15:docId w15:val="{111CB61E-6551-4D6D-B275-AB29D30C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C64"/>
    <w:pPr>
      <w:tabs>
        <w:tab w:val="center" w:pos="4320"/>
        <w:tab w:val="right" w:pos="8640"/>
      </w:tabs>
    </w:pPr>
  </w:style>
  <w:style w:type="character" w:customStyle="1" w:styleId="FooterChar">
    <w:name w:val="Footer Char"/>
    <w:basedOn w:val="DefaultParagraphFont"/>
    <w:link w:val="Footer"/>
    <w:rsid w:val="00540C64"/>
    <w:rPr>
      <w:rFonts w:ascii="Times New Roman" w:eastAsia="Times New Roman" w:hAnsi="Times New Roman" w:cs="Times New Roman"/>
      <w:sz w:val="24"/>
      <w:szCs w:val="24"/>
    </w:rPr>
  </w:style>
  <w:style w:type="character" w:styleId="Hyperlink">
    <w:name w:val="Hyperlink"/>
    <w:rsid w:val="00540C64"/>
    <w:rPr>
      <w:color w:val="0000FF"/>
      <w:u w:val="single"/>
    </w:rPr>
  </w:style>
  <w:style w:type="paragraph" w:styleId="Header">
    <w:name w:val="header"/>
    <w:basedOn w:val="Normal"/>
    <w:link w:val="HeaderChar"/>
    <w:uiPriority w:val="99"/>
    <w:unhideWhenUsed/>
    <w:rsid w:val="00540C64"/>
    <w:pPr>
      <w:tabs>
        <w:tab w:val="center" w:pos="4680"/>
        <w:tab w:val="right" w:pos="9360"/>
      </w:tabs>
    </w:pPr>
  </w:style>
  <w:style w:type="character" w:customStyle="1" w:styleId="HeaderChar">
    <w:name w:val="Header Char"/>
    <w:basedOn w:val="DefaultParagraphFont"/>
    <w:link w:val="Header"/>
    <w:uiPriority w:val="99"/>
    <w:rsid w:val="00540C6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2F08"/>
    <w:rPr>
      <w:color w:val="954F72" w:themeColor="followedHyperlink"/>
      <w:u w:val="single"/>
    </w:rPr>
  </w:style>
  <w:style w:type="character" w:styleId="Mention">
    <w:name w:val="Mention"/>
    <w:basedOn w:val="DefaultParagraphFont"/>
    <w:uiPriority w:val="99"/>
    <w:semiHidden/>
    <w:unhideWhenUsed/>
    <w:rsid w:val="002E68F8"/>
    <w:rPr>
      <w:color w:val="2B579A"/>
      <w:shd w:val="clear" w:color="auto" w:fill="E6E6E6"/>
    </w:rPr>
  </w:style>
  <w:style w:type="paragraph" w:styleId="ListParagraph">
    <w:name w:val="List Paragraph"/>
    <w:basedOn w:val="Normal"/>
    <w:uiPriority w:val="34"/>
    <w:qFormat/>
    <w:rsid w:val="004B69F8"/>
    <w:pPr>
      <w:ind w:left="720"/>
      <w:contextualSpacing/>
    </w:pPr>
  </w:style>
  <w:style w:type="character" w:styleId="UnresolvedMention">
    <w:name w:val="Unresolved Mention"/>
    <w:basedOn w:val="DefaultParagraphFont"/>
    <w:uiPriority w:val="99"/>
    <w:semiHidden/>
    <w:unhideWhenUsed/>
    <w:rsid w:val="00D0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swe.org" TargetMode="External"/><Relationship Id="rId3" Type="http://schemas.openxmlformats.org/officeDocument/2006/relationships/settings" Target="settings.xml"/><Relationship Id="rId7" Type="http://schemas.openxmlformats.org/officeDocument/2006/relationships/hyperlink" Target="https://learningacademy.cswe.org/products/2015-epas-reaffirmation-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swe.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 Holster</dc:creator>
  <cp:keywords/>
  <dc:description/>
  <cp:lastModifiedBy>Monica Wylie</cp:lastModifiedBy>
  <cp:revision>2</cp:revision>
  <dcterms:created xsi:type="dcterms:W3CDTF">2021-07-06T19:13:00Z</dcterms:created>
  <dcterms:modified xsi:type="dcterms:W3CDTF">2021-07-06T19:13:00Z</dcterms:modified>
</cp:coreProperties>
</file>