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3295CE1B" w:rsidR="00444D06" w:rsidRPr="00B979F0" w:rsidRDefault="00524A2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202795">
        <w:rPr>
          <w:rFonts w:ascii="Arial" w:eastAsia="Times New Roman" w:hAnsi="Arial" w:cs="Arial"/>
          <w:b/>
          <w:bCs/>
        </w:rPr>
        <w:t>[</w:t>
      </w:r>
      <w:r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="00202795">
        <w:rPr>
          <w:rFonts w:ascii="Arial" w:eastAsia="Times New Roman" w:hAnsi="Arial" w:cs="Arial"/>
          <w:b/>
          <w:bCs/>
          <w:u w:val="single"/>
        </w:rPr>
        <w:t>]</w:t>
      </w:r>
      <w:r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77777777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Pr="46B1AE5C">
        <w:rPr>
          <w:rFonts w:ascii="Arial" w:hAnsi="Arial" w:cs="Arial"/>
          <w:color w:val="000000" w:themeColor="text1"/>
        </w:rPr>
        <w:t>and also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</w:t>
      </w:r>
      <w:proofErr w:type="gramStart"/>
      <w:r>
        <w:rPr>
          <w:rFonts w:ascii="Arial" w:eastAsia="Calibri" w:hAnsi="Arial" w:cs="Arial"/>
          <w:spacing w:val="-3"/>
        </w:rPr>
        <w:t>collected within 2 years of today’s date at all times</w:t>
      </w:r>
      <w:proofErr w:type="gramEnd"/>
      <w:r>
        <w:rPr>
          <w:rFonts w:ascii="Arial" w:eastAsia="Calibri" w:hAnsi="Arial" w:cs="Arial"/>
          <w:spacing w:val="-3"/>
        </w:rPr>
        <w:t xml:space="preserve">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6F15CB">
          <w:footerReference w:type="default" r:id="rId10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C01A5C" w14:paraId="26ACE151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35EED6A2" w14:textId="71470BA7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202795">
              <w:rPr>
                <w:rFonts w:ascii="Arial" w:eastAsia="Times New Roman" w:hAnsi="Arial" w:cs="Arial"/>
                <w:b/>
              </w:rPr>
              <w:t>[INSTRUMENT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202795">
              <w:rPr>
                <w:rFonts w:ascii="Arial" w:eastAsia="Times New Roman" w:hAnsi="Arial" w:cs="Arial"/>
                <w:b/>
              </w:rPr>
              <w:t>NAME]</w:t>
            </w:r>
          </w:p>
        </w:tc>
      </w:tr>
      <w:tr w:rsidR="008C1BC3" w14:paraId="5328BDE5" w14:textId="77777777" w:rsidTr="009B432E">
        <w:trPr>
          <w:jc w:val="center"/>
        </w:trPr>
        <w:tc>
          <w:tcPr>
            <w:tcW w:w="7735" w:type="dxa"/>
          </w:tcPr>
          <w:p w14:paraId="6DEFEEB0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28A4BE64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70D9D427" w14:textId="77777777" w:rsidTr="00B813D9">
        <w:trPr>
          <w:jc w:val="center"/>
        </w:trPr>
        <w:tc>
          <w:tcPr>
            <w:tcW w:w="7735" w:type="dxa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02A78D0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7F78B99" w14:textId="77777777" w:rsidTr="00B813D9">
        <w:trPr>
          <w:jc w:val="center"/>
        </w:trPr>
        <w:tc>
          <w:tcPr>
            <w:tcW w:w="7735" w:type="dxa"/>
          </w:tcPr>
          <w:p w14:paraId="0035FB6F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31FB7D0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CB221B1" w14:textId="77777777" w:rsidTr="00B813D9">
        <w:trPr>
          <w:jc w:val="center"/>
        </w:trPr>
        <w:tc>
          <w:tcPr>
            <w:tcW w:w="7735" w:type="dxa"/>
          </w:tcPr>
          <w:p w14:paraId="0EB3349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0BF54DB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B614342" w14:textId="77777777" w:rsidTr="00B813D9">
        <w:trPr>
          <w:jc w:val="center"/>
        </w:trPr>
        <w:tc>
          <w:tcPr>
            <w:tcW w:w="7735" w:type="dxa"/>
          </w:tcPr>
          <w:p w14:paraId="38C36B74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3BFE070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9638A9D" w14:textId="77777777" w:rsidTr="00B813D9">
        <w:trPr>
          <w:jc w:val="center"/>
        </w:trPr>
        <w:tc>
          <w:tcPr>
            <w:tcW w:w="7735" w:type="dxa"/>
          </w:tcPr>
          <w:p w14:paraId="7D5E0407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1ACD849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68EACBDB" w14:textId="77777777" w:rsidTr="00B813D9">
        <w:trPr>
          <w:jc w:val="center"/>
        </w:trPr>
        <w:tc>
          <w:tcPr>
            <w:tcW w:w="7735" w:type="dxa"/>
          </w:tcPr>
          <w:p w14:paraId="5AC97E01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7EF3C573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84FA176" w14:textId="77777777" w:rsidTr="00B813D9">
        <w:trPr>
          <w:jc w:val="center"/>
        </w:trPr>
        <w:tc>
          <w:tcPr>
            <w:tcW w:w="7735" w:type="dxa"/>
          </w:tcPr>
          <w:p w14:paraId="129B6CCC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6FA9989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3CE301A6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1F20629" w14:textId="59E6BF62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202795">
              <w:rPr>
                <w:rFonts w:ascii="Arial" w:eastAsia="Times New Roman" w:hAnsi="Arial" w:cs="Arial"/>
                <w:b/>
              </w:rPr>
              <w:t>[</w:t>
            </w:r>
            <w:r>
              <w:rPr>
                <w:rFonts w:ascii="Arial" w:eastAsia="Times New Roman" w:hAnsi="Arial" w:cs="Arial"/>
                <w:b/>
              </w:rPr>
              <w:t xml:space="preserve">INSTRUMENT </w:t>
            </w:r>
            <w:r w:rsidR="00202795">
              <w:rPr>
                <w:rFonts w:ascii="Arial" w:eastAsia="Times New Roman" w:hAnsi="Arial" w:cs="Arial"/>
                <w:b/>
              </w:rPr>
              <w:t>NAME]</w:t>
            </w:r>
          </w:p>
        </w:tc>
      </w:tr>
      <w:tr w:rsidR="008C1BC3" w14:paraId="1BDFF998" w14:textId="77777777" w:rsidTr="009B432E">
        <w:trPr>
          <w:jc w:val="center"/>
        </w:trPr>
        <w:tc>
          <w:tcPr>
            <w:tcW w:w="7735" w:type="dxa"/>
          </w:tcPr>
          <w:p w14:paraId="2933E965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1615" w:type="dxa"/>
          </w:tcPr>
          <w:p w14:paraId="478D897A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B8E4F0E" w14:textId="77777777" w:rsidTr="00B813D9">
        <w:trPr>
          <w:jc w:val="center"/>
        </w:trPr>
        <w:tc>
          <w:tcPr>
            <w:tcW w:w="7735" w:type="dxa"/>
          </w:tcPr>
          <w:p w14:paraId="6BC3245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3855B85B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716C7A70" w14:textId="77777777" w:rsidTr="00B813D9">
        <w:trPr>
          <w:jc w:val="center"/>
        </w:trPr>
        <w:tc>
          <w:tcPr>
            <w:tcW w:w="7735" w:type="dxa"/>
          </w:tcPr>
          <w:p w14:paraId="2E6E89D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61AAD2F9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13C91B6" w14:textId="77777777" w:rsidTr="00B813D9">
        <w:trPr>
          <w:jc w:val="center"/>
        </w:trPr>
        <w:tc>
          <w:tcPr>
            <w:tcW w:w="7735" w:type="dxa"/>
          </w:tcPr>
          <w:p w14:paraId="69A20EA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0919E39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609B055" w14:textId="77777777" w:rsidTr="00B813D9">
        <w:trPr>
          <w:jc w:val="center"/>
        </w:trPr>
        <w:tc>
          <w:tcPr>
            <w:tcW w:w="7735" w:type="dxa"/>
          </w:tcPr>
          <w:p w14:paraId="4BAED10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0C94DDB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5CBBCD9" w14:textId="77777777" w:rsidTr="00B813D9">
        <w:trPr>
          <w:jc w:val="center"/>
        </w:trPr>
        <w:tc>
          <w:tcPr>
            <w:tcW w:w="7735" w:type="dxa"/>
          </w:tcPr>
          <w:p w14:paraId="7CBE8F55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358DA3A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6FA2BCB" w14:textId="77777777" w:rsidTr="00B813D9">
        <w:trPr>
          <w:jc w:val="center"/>
        </w:trPr>
        <w:tc>
          <w:tcPr>
            <w:tcW w:w="7735" w:type="dxa"/>
          </w:tcPr>
          <w:p w14:paraId="4418846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7B9B7C3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0ADD8CD5" w14:textId="77777777" w:rsidTr="00B813D9">
        <w:trPr>
          <w:jc w:val="center"/>
        </w:trPr>
        <w:tc>
          <w:tcPr>
            <w:tcW w:w="7735" w:type="dxa"/>
          </w:tcPr>
          <w:p w14:paraId="166ED980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359AB34E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2AB90DCC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0708485" w14:textId="7BFFA417" w:rsidR="00C01A5C" w:rsidRPr="00BE74C1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 xml:space="preserve">[optional] Assessment Measure #3: 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[INSTRUMENT</w:t>
            </w:r>
            <w:r w:rsidRPr="00BE74C1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NAME]</w:t>
            </w:r>
          </w:p>
          <w:p w14:paraId="2798C48D" w14:textId="77777777" w:rsidR="00C01A5C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>Repeat table for each 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328D3301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</w:t>
      </w:r>
      <w:r w:rsidR="00202795">
        <w:rPr>
          <w:rFonts w:ascii="Arial" w:eastAsia="Times New Roman" w:hAnsi="Arial" w:cs="Arial"/>
          <w:b/>
        </w:rPr>
        <w:t>[</w:t>
      </w:r>
      <w:r>
        <w:rPr>
          <w:rFonts w:ascii="Arial" w:eastAsia="Times New Roman" w:hAnsi="Arial" w:cs="Arial"/>
          <w:b/>
        </w:rPr>
        <w:t xml:space="preserve">SPECIALIZATION </w:t>
      </w:r>
      <w:r w:rsidR="00202795">
        <w:rPr>
          <w:rFonts w:ascii="Arial" w:eastAsia="Times New Roman" w:hAnsi="Arial" w:cs="Arial"/>
          <w:b/>
        </w:rPr>
        <w:t>NAME]</w:t>
      </w:r>
    </w:p>
    <w:p w14:paraId="24956EC9" w14:textId="586C2D44" w:rsidR="008007B5" w:rsidRPr="00961DF7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C00000"/>
        </w:rPr>
      </w:pPr>
      <w:r w:rsidRPr="00961DF7">
        <w:rPr>
          <w:rFonts w:ascii="Arial" w:eastAsia="Times New Roman" w:hAnsi="Arial" w:cs="Arial"/>
          <w:i/>
          <w:color w:val="C00000"/>
        </w:rPr>
        <w:t>(</w:t>
      </w:r>
      <w:r w:rsidR="00961DF7">
        <w:rPr>
          <w:rFonts w:ascii="Arial" w:eastAsia="Times New Roman" w:hAnsi="Arial" w:cs="Arial"/>
          <w:i/>
          <w:color w:val="C00000"/>
        </w:rPr>
        <w:t>A</w:t>
      </w:r>
      <w:r w:rsidRPr="00961DF7">
        <w:rPr>
          <w:rFonts w:ascii="Arial" w:eastAsia="Times New Roman" w:hAnsi="Arial" w:cs="Arial"/>
          <w:i/>
          <w:color w:val="C00000"/>
        </w:rPr>
        <w:t>dd tables to accurately reflect the number of specializations)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961DF7" w:rsidRPr="00544D37" w14:paraId="35BD905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72E4944" w14:textId="298AEFF4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202795">
              <w:rPr>
                <w:rFonts w:ascii="Arial" w:eastAsia="Times New Roman" w:hAnsi="Arial" w:cs="Arial"/>
                <w:b/>
              </w:rPr>
              <w:t>[INSTRUMENT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202795">
              <w:rPr>
                <w:rFonts w:ascii="Arial" w:eastAsia="Times New Roman" w:hAnsi="Arial" w:cs="Arial"/>
                <w:b/>
              </w:rPr>
              <w:t>NAME]</w:t>
            </w:r>
          </w:p>
        </w:tc>
      </w:tr>
      <w:tr w:rsidR="00961DF7" w14:paraId="72DE138B" w14:textId="77777777" w:rsidTr="00B813D9">
        <w:trPr>
          <w:jc w:val="center"/>
        </w:trPr>
        <w:tc>
          <w:tcPr>
            <w:tcW w:w="7735" w:type="dxa"/>
          </w:tcPr>
          <w:p w14:paraId="445837B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075F6CD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117FE43" w14:textId="77777777" w:rsidTr="00B813D9">
        <w:trPr>
          <w:jc w:val="center"/>
        </w:trPr>
        <w:tc>
          <w:tcPr>
            <w:tcW w:w="7735" w:type="dxa"/>
          </w:tcPr>
          <w:p w14:paraId="4CA0AD3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4B22CCC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6D46B83" w14:textId="77777777" w:rsidTr="00B813D9">
        <w:trPr>
          <w:jc w:val="center"/>
        </w:trPr>
        <w:tc>
          <w:tcPr>
            <w:tcW w:w="7735" w:type="dxa"/>
          </w:tcPr>
          <w:p w14:paraId="60821AB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7A48D30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2175CC1" w14:textId="77777777" w:rsidTr="00B813D9">
        <w:trPr>
          <w:jc w:val="center"/>
        </w:trPr>
        <w:tc>
          <w:tcPr>
            <w:tcW w:w="7735" w:type="dxa"/>
          </w:tcPr>
          <w:p w14:paraId="2E2D74C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20E6D21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D2173E8" w14:textId="77777777" w:rsidTr="00B813D9">
        <w:trPr>
          <w:jc w:val="center"/>
        </w:trPr>
        <w:tc>
          <w:tcPr>
            <w:tcW w:w="7735" w:type="dxa"/>
          </w:tcPr>
          <w:p w14:paraId="654E371F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04A5866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ED76C70" w14:textId="77777777" w:rsidTr="00B813D9">
        <w:trPr>
          <w:jc w:val="center"/>
        </w:trPr>
        <w:tc>
          <w:tcPr>
            <w:tcW w:w="7735" w:type="dxa"/>
          </w:tcPr>
          <w:p w14:paraId="6768735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2D1E4F5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941BEAC" w14:textId="77777777" w:rsidTr="00B813D9">
        <w:trPr>
          <w:jc w:val="center"/>
        </w:trPr>
        <w:tc>
          <w:tcPr>
            <w:tcW w:w="7735" w:type="dxa"/>
          </w:tcPr>
          <w:p w14:paraId="2967F3BC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3FE2E4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:rsidRPr="00544D37" w14:paraId="4F7001B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A3C8968" w14:textId="4FE4F10F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202795">
              <w:rPr>
                <w:rFonts w:ascii="Arial" w:eastAsia="Times New Roman" w:hAnsi="Arial" w:cs="Arial"/>
                <w:b/>
              </w:rPr>
              <w:t>[INSTRUMENT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202795">
              <w:rPr>
                <w:rFonts w:ascii="Arial" w:eastAsia="Times New Roman" w:hAnsi="Arial" w:cs="Arial"/>
                <w:b/>
              </w:rPr>
              <w:t>NAME]</w:t>
            </w:r>
          </w:p>
        </w:tc>
      </w:tr>
      <w:tr w:rsidR="00961DF7" w14:paraId="201EC108" w14:textId="77777777" w:rsidTr="00B813D9">
        <w:trPr>
          <w:jc w:val="center"/>
        </w:trPr>
        <w:tc>
          <w:tcPr>
            <w:tcW w:w="7735" w:type="dxa"/>
          </w:tcPr>
          <w:p w14:paraId="16FFC14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6CA564F3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D611CCA" w14:textId="77777777" w:rsidTr="00B813D9">
        <w:trPr>
          <w:jc w:val="center"/>
        </w:trPr>
        <w:tc>
          <w:tcPr>
            <w:tcW w:w="7735" w:type="dxa"/>
          </w:tcPr>
          <w:p w14:paraId="56E00208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6ABADA99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4A65A6A" w14:textId="77777777" w:rsidTr="00B813D9">
        <w:trPr>
          <w:jc w:val="center"/>
        </w:trPr>
        <w:tc>
          <w:tcPr>
            <w:tcW w:w="7735" w:type="dxa"/>
          </w:tcPr>
          <w:p w14:paraId="319A38D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15" w:type="dxa"/>
          </w:tcPr>
          <w:p w14:paraId="04845B11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8516CB2" w14:textId="77777777" w:rsidTr="00B813D9">
        <w:trPr>
          <w:jc w:val="center"/>
        </w:trPr>
        <w:tc>
          <w:tcPr>
            <w:tcW w:w="7735" w:type="dxa"/>
          </w:tcPr>
          <w:p w14:paraId="5CE77A09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374189D4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0C753ECF" w14:textId="77777777" w:rsidTr="00B813D9">
        <w:trPr>
          <w:jc w:val="center"/>
        </w:trPr>
        <w:tc>
          <w:tcPr>
            <w:tcW w:w="7735" w:type="dxa"/>
          </w:tcPr>
          <w:p w14:paraId="16C3CAF9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04E71E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9CC1EA3" w14:textId="77777777" w:rsidTr="00B813D9">
        <w:trPr>
          <w:jc w:val="center"/>
        </w:trPr>
        <w:tc>
          <w:tcPr>
            <w:tcW w:w="7735" w:type="dxa"/>
          </w:tcPr>
          <w:p w14:paraId="08F7373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0F0CD17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AEBE484" w14:textId="77777777" w:rsidTr="00B813D9">
        <w:trPr>
          <w:jc w:val="center"/>
        </w:trPr>
        <w:tc>
          <w:tcPr>
            <w:tcW w:w="7735" w:type="dxa"/>
          </w:tcPr>
          <w:p w14:paraId="26C048B4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lastRenderedPageBreak/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39B1F40A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7494350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46AAA7B2" w14:textId="3CC758C1" w:rsidR="00961DF7" w:rsidRPr="00BE74C1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t xml:space="preserve">[optional] Assessment Measure #3: 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[INSTRUMENT</w:t>
            </w:r>
            <w:r w:rsidRPr="00BE74C1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NAME]</w:t>
            </w:r>
          </w:p>
          <w:p w14:paraId="1BF0285D" w14:textId="77777777" w:rsidR="00961DF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</w:t>
            </w:r>
            <w:r>
              <w:rPr>
                <w:rFonts w:ascii="Arial" w:eastAsia="Times New Roman" w:hAnsi="Arial" w:cs="Arial"/>
                <w:i/>
                <w:color w:val="C00000"/>
              </w:rPr>
              <w:t>Repeat table for each additional measure</w:t>
            </w:r>
            <w:r w:rsidRPr="00AC3970">
              <w:rPr>
                <w:rFonts w:ascii="Arial" w:eastAsia="Times New Roman" w:hAnsi="Arial" w:cs="Arial"/>
                <w:i/>
                <w:color w:val="C00000"/>
              </w:rPr>
              <w:t>)</w:t>
            </w:r>
          </w:p>
        </w:tc>
      </w:tr>
    </w:tbl>
    <w:p w14:paraId="73E84B90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C9560D">
        <w:rPr>
          <w:rFonts w:ascii="Arial" w:hAnsi="Arial" w:cs="Arial"/>
          <w:b/>
          <w:bCs/>
        </w:rPr>
        <w:t>D</w:t>
      </w:r>
      <w:r w:rsidRPr="00C9560D">
        <w:rPr>
          <w:rFonts w:ascii="Arial" w:eastAsia="Times New Roman" w:hAnsi="Arial" w:cs="Arial"/>
          <w:b/>
          <w:bCs/>
        </w:rPr>
        <w:t>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E84FCEA" w14:textId="481FAD91" w:rsidR="007A45A1" w:rsidRPr="00272ACA" w:rsidRDefault="00372199" w:rsidP="00372199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Indicate the benchmark percentage for each competency.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7A43FC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7A43FC">
        <w:rPr>
          <w:rFonts w:ascii="Arial" w:eastAsia="Times New Roman" w:hAnsi="Arial" w:cs="Arial"/>
        </w:rPr>
        <w:t>,</w:t>
      </w:r>
      <w:r w:rsidR="005907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may add/delete columns</w:t>
      </w:r>
      <w:r w:rsidR="00C7271C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to accurately reflect the number of program options offered.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is a required form.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</w:t>
      </w:r>
      <w:r w:rsidR="00F55DC6">
        <w:rPr>
          <w:rFonts w:ascii="Arial" w:eastAsia="Times New Roman" w:hAnsi="Arial" w:cs="Arial"/>
        </w:rPr>
        <w:t>. However, beyond these formatting alternations, the</w:t>
      </w:r>
      <w:r w:rsidRPr="00272ACA">
        <w:rPr>
          <w:rFonts w:ascii="Arial" w:eastAsia="Times New Roman" w:hAnsi="Arial" w:cs="Arial"/>
        </w:rPr>
        <w:t xml:space="preserve"> program may not alter the content of this form. </w:t>
      </w:r>
    </w:p>
    <w:p w14:paraId="2904C338" w14:textId="77777777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60BBBA5" w14:textId="57EA993B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(20</w:t>
      </w:r>
      <w:r w:rsidRPr="00655256">
        <w:rPr>
          <w:rFonts w:ascii="Arial" w:eastAsia="Times New Roman" w:hAnsi="Arial" w:cs="Arial"/>
          <w:b/>
          <w:bCs/>
          <w:color w:val="C00000"/>
        </w:rPr>
        <w:t>XX</w:t>
      </w:r>
      <w:r>
        <w:rPr>
          <w:rFonts w:ascii="Arial" w:eastAsia="Times New Roman" w:hAnsi="Arial" w:cs="Arial"/>
          <w:b/>
          <w:bCs/>
        </w:rPr>
        <w:t>-20</w:t>
      </w:r>
      <w:r w:rsidRPr="00655256">
        <w:rPr>
          <w:rFonts w:ascii="Arial" w:eastAsia="Times New Roman" w:hAnsi="Arial" w:cs="Arial"/>
          <w:b/>
          <w:bCs/>
          <w:color w:val="C00000"/>
        </w:rPr>
        <w:t>XX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5CC312DB" w14:textId="214F3C09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(IDENTIFY LOCATION/DELIVERY METHOD)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444D06" w:rsidRPr="00B979F0" w14:paraId="09933C5B" w14:textId="77777777" w:rsidTr="00670277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 w:rsidR="009E35ED"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2323" w14:textId="77777777" w:rsidR="00D2444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0148334" w14:textId="77777777" w:rsidR="00D24440" w:rsidRDefault="00D2444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DB3D6EF" w14:textId="1F74D4CD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968A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B2D72" w:rsidRPr="00B979F0" w14:paraId="705BBA38" w14:textId="77777777" w:rsidTr="00B813D9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(Identify Specialization)</w:t>
            </w:r>
          </w:p>
          <w:p w14:paraId="5B6ED978" w14:textId="034B45A9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168CF" w14:textId="79BC0ECD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</w:p>
          <w:p w14:paraId="7B2E81D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7F61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</w:p>
          <w:p w14:paraId="1B19A12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7AF025" w14:textId="385E3AE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</w:tr>
      <w:tr w:rsidR="005B2D72" w:rsidRPr="00B979F0" w14:paraId="74B97179" w14:textId="77777777" w:rsidTr="002727E8">
        <w:trPr>
          <w:trHeight w:val="205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B5137ED" w14:textId="1028F105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655256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Competency 0: Sample Row </w:t>
            </w:r>
            <w:r w:rsidRPr="00655256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and/or posting)</w:t>
            </w:r>
          </w:p>
          <w:p w14:paraId="0DB30EAF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0A03DD13" w14:textId="63ED7818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655256">
              <w:rPr>
                <w:rFonts w:ascii="Arial" w:hAnsi="Arial" w:cs="Arial"/>
                <w:i/>
                <w:color w:val="C00000"/>
              </w:rPr>
              <w:lastRenderedPageBreak/>
              <w:t>Disclaimer:</w:t>
            </w:r>
            <w:r w:rsidRPr="00655256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655256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655256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</w:t>
            </w:r>
            <w:r w:rsidR="002727E8">
              <w:rPr>
                <w:rFonts w:ascii="Arial" w:hAnsi="Arial" w:cs="Arial"/>
                <w:color w:val="C00000"/>
              </w:rPr>
              <w:t xml:space="preserve"> nor recommend any specific benchmarks.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144D694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58E8B9D7" w14:textId="0BDCF3FA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5B2D72"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32E5148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52F131BD" w14:textId="763D8E5D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90%</w:t>
            </w:r>
            <w:r w:rsidR="005B2D72"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0DFFCC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61AEA4F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619BB130" w14:textId="62E429EB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CE96C2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11E62B3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613E4A5" w14:textId="13E34C7A" w:rsidR="005B2D72" w:rsidRPr="00655256" w:rsidRDefault="00AD127E" w:rsidP="00C9560D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43772B9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E38E27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75414F1" w14:textId="0DBAF89A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0B4281"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D5A5898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E057444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64F2133" w14:textId="14F3D19F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0B4281"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</w:tr>
      <w:tr w:rsidR="005B2D72" w:rsidRPr="00B979F0" w14:paraId="390FD27B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FA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DE28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B5C47" w14:textId="2049B58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0AC3C9E1" w14:textId="77777777" w:rsidTr="00B813D9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4385009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6075744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E44EF" w14:textId="14FAC18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72E01E6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28957" w14:textId="1AFC447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E03C8" w14:textId="54E3B5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4CCAF11" w14:textId="77777777" w:rsidTr="00B813D9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409E831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1C17064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02AB" w14:textId="3A59C41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20C4737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24479" w14:textId="2B8E25D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7F69C" w14:textId="4EB38A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16FD385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417EED3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3D5E92D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6C0B7" w14:textId="70354A9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477AFA3D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D4B88" w14:textId="53DED45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027B3" w14:textId="5B49DA8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6CF4B6F3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3F5CEA1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6A8DAD9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1189" w14:textId="5848E13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7EF46AF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60B0B" w14:textId="01B7A4B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E2D18" w14:textId="241BA51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41372A28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155D90F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4190143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2DDE" w14:textId="4F63BDA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406F49F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18289" w14:textId="08757F9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7F5A2" w14:textId="3D24CF3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F76E86A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133819B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6A3E92F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D7A5" w14:textId="7D98C44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68AEBA9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E0CB0" w14:textId="123A561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F6FF5" w14:textId="56EF45F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21B8E2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6635941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3080568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38B8C" w14:textId="46838C9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3FB68FF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91C3" w14:textId="59BDFFA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910F0" w14:textId="6A82DCD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5D2806A7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1106A7A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4759656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56936" w14:textId="4B94678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17538B1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5D99D" w14:textId="7B0BD94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8D49" w14:textId="371EC4B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3C61BD8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42C67" w14:textId="11E986A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 xml:space="preserve">)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84F4C" w14:textId="3DA14DA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6F552" w14:textId="702D8D1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E150C" w14:textId="1E8B4BE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A2110" w14:textId="60EBC9F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32306" w14:textId="50AEE10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E0063" w14:textId="67C5914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A53EB2D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6071FB02" w:rsidR="00807F57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04999ED8" w14:textId="6A781C40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(Aggregate Findings for All </w:t>
      </w:r>
      <w:r w:rsidR="00B64AA6">
        <w:rPr>
          <w:rFonts w:ascii="Arial" w:eastAsia="Times New Roman" w:hAnsi="Arial" w:cs="Arial"/>
          <w:b/>
          <w:bCs/>
        </w:rPr>
        <w:t xml:space="preserve">Students from All </w:t>
      </w:r>
      <w:r w:rsidRPr="00B979F0">
        <w:rPr>
          <w:rFonts w:ascii="Arial" w:eastAsia="Times New Roman" w:hAnsi="Arial" w:cs="Arial"/>
          <w:b/>
          <w:bCs/>
        </w:rPr>
        <w:t>Program Options Combined)</w:t>
      </w:r>
      <w:r w:rsidRPr="00B979F0">
        <w:rPr>
          <w:rFonts w:ascii="Arial" w:eastAsia="Times New Roman" w:hAnsi="Arial" w:cs="Arial"/>
        </w:rPr>
        <w:t> </w:t>
      </w:r>
    </w:p>
    <w:p w14:paraId="146F6E5B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 </w:t>
      </w:r>
    </w:p>
    <w:p w14:paraId="11E96125" w14:textId="77777777" w:rsidR="00444D06" w:rsidRDefault="00444D06" w:rsidP="00444D0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(20</w:t>
      </w:r>
      <w:r w:rsidRPr="00241E29">
        <w:rPr>
          <w:rFonts w:ascii="Arial" w:eastAsia="Times New Roman" w:hAnsi="Arial" w:cs="Arial"/>
          <w:b/>
          <w:bCs/>
          <w:color w:val="C00000"/>
        </w:rPr>
        <w:t>XX</w:t>
      </w:r>
      <w:r>
        <w:rPr>
          <w:rFonts w:ascii="Arial" w:eastAsia="Times New Roman" w:hAnsi="Arial" w:cs="Arial"/>
          <w:b/>
          <w:bCs/>
        </w:rPr>
        <w:t>-20</w:t>
      </w:r>
      <w:r w:rsidRPr="00241E29">
        <w:rPr>
          <w:rFonts w:ascii="Arial" w:eastAsia="Times New Roman" w:hAnsi="Arial" w:cs="Arial"/>
          <w:b/>
          <w:bCs/>
          <w:color w:val="C00000"/>
        </w:rPr>
        <w:t>XX</w:t>
      </w:r>
      <w:r>
        <w:rPr>
          <w:rFonts w:ascii="Arial" w:eastAsia="Times New Roman" w:hAnsi="Arial" w:cs="Arial"/>
          <w:b/>
          <w:bCs/>
        </w:rPr>
        <w:t>)</w:t>
      </w:r>
    </w:p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90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115"/>
        <w:gridCol w:w="1743"/>
        <w:gridCol w:w="2010"/>
        <w:gridCol w:w="1980"/>
        <w:gridCol w:w="2250"/>
        <w:gridCol w:w="1999"/>
        <w:gridCol w:w="21"/>
      </w:tblGrid>
      <w:tr w:rsidR="00444D06" w:rsidRPr="00B979F0" w14:paraId="04955148" w14:textId="77777777" w:rsidTr="00444D06">
        <w:trPr>
          <w:gridAfter w:val="1"/>
          <w:wAfter w:w="21" w:type="dxa"/>
          <w:trHeight w:val="990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895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br/>
            </w: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D02A3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74A68EB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F6BEA08" w14:textId="7BFB0060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53EEB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36BA2D03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9FE4404" w14:textId="010BA4B4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44B42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047FBD8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44D06" w:rsidRPr="00B979F0" w14:paraId="6FB59AC8" w14:textId="77777777" w:rsidTr="00444D06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F964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610C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DC9B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F89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2308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F1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47DC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858BF7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0AD47FBF" w14:textId="77777777" w:rsidTr="005C3AB4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D9533DD" w14:textId="77777777" w:rsidR="00324D0F" w:rsidRPr="00241E29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241E29">
              <w:rPr>
                <w:rFonts w:ascii="Arial" w:eastAsia="Times New Roman" w:hAnsi="Arial" w:cs="Arial"/>
                <w:b/>
                <w:bCs/>
                <w:color w:val="C00000"/>
              </w:rPr>
              <w:t>Competency 0: Sample Row</w:t>
            </w:r>
          </w:p>
          <w:p w14:paraId="24D2EE6E" w14:textId="139BDC96" w:rsidR="00324D0F" w:rsidRPr="00241E29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241E29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</w:t>
            </w:r>
            <w:r w:rsidR="00AD7655" w:rsidRPr="00241E29">
              <w:rPr>
                <w:rFonts w:ascii="Arial" w:eastAsia="Times New Roman" w:hAnsi="Arial" w:cs="Arial"/>
                <w:i/>
                <w:iCs/>
                <w:color w:val="C00000"/>
              </w:rPr>
              <w:t>/or</w:t>
            </w:r>
            <w:r w:rsidRPr="00241E29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posting)</w:t>
            </w:r>
          </w:p>
          <w:p w14:paraId="01B38C74" w14:textId="77777777" w:rsidR="00807F57" w:rsidRPr="00241E29" w:rsidRDefault="00807F57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5D4A313D" w14:textId="51D63ADB" w:rsidR="00807F57" w:rsidRPr="00241E29" w:rsidRDefault="002727E8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hAnsi="Arial" w:cs="Arial"/>
                <w:i/>
                <w:color w:val="C00000"/>
              </w:rPr>
              <w:t>Disclaimer:</w:t>
            </w:r>
            <w:r w:rsidRPr="00655256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655256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655256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</w:t>
            </w:r>
            <w:r>
              <w:rPr>
                <w:rFonts w:ascii="Arial" w:hAnsi="Arial" w:cs="Arial"/>
                <w:color w:val="C00000"/>
              </w:rPr>
              <w:t xml:space="preserve"> nor </w:t>
            </w:r>
            <w:r>
              <w:rPr>
                <w:rFonts w:ascii="Arial" w:hAnsi="Arial" w:cs="Arial"/>
                <w:color w:val="C00000"/>
              </w:rPr>
              <w:lastRenderedPageBreak/>
              <w:t>recommend any specific benchmarks.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4263DB2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024FD0FF" w14:textId="0DAC0D57" w:rsidR="00324D0F" w:rsidRPr="00241E29" w:rsidRDefault="00812AA1" w:rsidP="005C3AB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 w:rsidR="00DD7541"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EE3716"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EE3716" w:rsidRPr="00241E29">
              <w:rPr>
                <w:rFonts w:ascii="Arial" w:hAnsi="Arial" w:cs="Arial"/>
                <w:color w:val="C00000"/>
              </w:rPr>
              <w:t>of students will demonstrate competence inclusive of 2 or more measures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6FB9334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B118653" w14:textId="6D5AD6FA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  <w:r w:rsidR="00EE3716" w:rsidRPr="00241E29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EB8CB0E" w14:textId="40EDEA8C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7252B72B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7A5B0720" w14:textId="58C0CDF3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E322D4E" w14:textId="054A7324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5600CB6C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112D59D4" w14:textId="7E7A9A76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95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6A104DD" w14:textId="0E20F673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7A448333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3DBCF98" w14:textId="3BED3282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1F87879" w14:textId="1530702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 (Aggregate percentage of students, inclusive of all program options, who demonstrated competence)</w:t>
            </w:r>
          </w:p>
          <w:p w14:paraId="4432966B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72B7A8D2" w14:textId="12A8E15A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</w:tr>
      <w:tr w:rsidR="00324D0F" w:rsidRPr="00B979F0" w14:paraId="37786BC4" w14:textId="77777777" w:rsidTr="00324D0F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DC1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22A2E3" w14:textId="496E8DC1" w:rsidR="00324D0F" w:rsidRPr="007C102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147519" w14:textId="1E88C7D0" w:rsidR="00324D0F" w:rsidRPr="007C102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E141D" w14:textId="047D0B11" w:rsidR="00324D0F" w:rsidRPr="007C1020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724DF7" w14:textId="0A2E1267" w:rsidR="00324D0F" w:rsidRPr="007C1020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12923" w14:textId="2AA66AF7" w:rsidR="00324D0F" w:rsidRPr="007C1020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3D5A7" w14:textId="784B64D6" w:rsidR="00324D0F" w:rsidRPr="007C1020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276CE315" w14:textId="77777777" w:rsidTr="00444D06">
        <w:trPr>
          <w:trHeight w:val="64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210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202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2F6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E42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450F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A7F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63D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43DD9A1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AFE20FD" w14:textId="77777777" w:rsidTr="00444D06">
        <w:trPr>
          <w:trHeight w:val="61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31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C511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8C03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B32D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731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FFF4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5303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A5787B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1CE03800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BE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proofErr w:type="gramStart"/>
            <w:r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proofErr w:type="gramEnd"/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24D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FAF4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798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337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4CF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CBAA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920DD8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B7D77F2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204E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5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9F4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6DD5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6A3E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9D4F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F21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7A68D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3A68F177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F6B6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6: Engage with Individuals, Families, Groups, Organizations,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8759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3B82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DC1D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E62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3EF63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3698E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E35361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C54D934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254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7778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1424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73A5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D738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61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C1570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435504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0C16ADEA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D88F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528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8E73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C213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55A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B7D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C0A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7037E7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14274E66" w14:textId="77777777" w:rsidTr="00444D06">
        <w:trPr>
          <w:trHeight w:val="55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9CF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4509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D9F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FD9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5E16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DC6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32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1DD5C3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607E33F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5D2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Any Additional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E2AB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7E2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8950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DE2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859A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32D7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963D5A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57A5CC97" w14:textId="77777777" w:rsidR="00444D06" w:rsidRPr="00B979F0" w:rsidRDefault="00444D06" w:rsidP="00444D0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</w:p>
    <w:p w14:paraId="28A7F410" w14:textId="77777777" w:rsidR="00B813D9" w:rsidRDefault="00B813D9"/>
    <w:sectPr w:rsidR="00B813D9" w:rsidSect="00517B8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96D2" w14:textId="77777777" w:rsidR="005958DD" w:rsidRDefault="005958DD" w:rsidP="00604D8A">
      <w:pPr>
        <w:spacing w:after="0" w:line="240" w:lineRule="auto"/>
      </w:pPr>
      <w:r>
        <w:separator/>
      </w:r>
    </w:p>
  </w:endnote>
  <w:endnote w:type="continuationSeparator" w:id="0">
    <w:p w14:paraId="633624EE" w14:textId="77777777" w:rsidR="005958DD" w:rsidRDefault="005958DD" w:rsidP="00604D8A">
      <w:pPr>
        <w:spacing w:after="0" w:line="240" w:lineRule="auto"/>
      </w:pPr>
      <w:r>
        <w:continuationSeparator/>
      </w:r>
    </w:p>
  </w:endnote>
  <w:endnote w:type="continuationNotice" w:id="1">
    <w:p w14:paraId="6EAAB6FD" w14:textId="77777777" w:rsidR="005958DD" w:rsidRDefault="00595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58AE" w14:textId="77777777" w:rsidR="005958DD" w:rsidRDefault="005958DD" w:rsidP="00604D8A">
      <w:pPr>
        <w:spacing w:after="0" w:line="240" w:lineRule="auto"/>
      </w:pPr>
      <w:r>
        <w:separator/>
      </w:r>
    </w:p>
  </w:footnote>
  <w:footnote w:type="continuationSeparator" w:id="0">
    <w:p w14:paraId="0D8757DB" w14:textId="77777777" w:rsidR="005958DD" w:rsidRDefault="005958DD" w:rsidP="00604D8A">
      <w:pPr>
        <w:spacing w:after="0" w:line="240" w:lineRule="auto"/>
      </w:pPr>
      <w:r>
        <w:continuationSeparator/>
      </w:r>
    </w:p>
  </w:footnote>
  <w:footnote w:type="continuationNotice" w:id="1">
    <w:p w14:paraId="2FFEE901" w14:textId="77777777" w:rsidR="005958DD" w:rsidRDefault="00595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A56A2"/>
    <w:rsid w:val="000B4281"/>
    <w:rsid w:val="000E00D8"/>
    <w:rsid w:val="000E5A3B"/>
    <w:rsid w:val="000F14A5"/>
    <w:rsid w:val="000F79F8"/>
    <w:rsid w:val="00106F13"/>
    <w:rsid w:val="00117305"/>
    <w:rsid w:val="001252D3"/>
    <w:rsid w:val="00136DA1"/>
    <w:rsid w:val="00151F73"/>
    <w:rsid w:val="00154E04"/>
    <w:rsid w:val="0016278A"/>
    <w:rsid w:val="00202795"/>
    <w:rsid w:val="00241E29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6039C"/>
    <w:rsid w:val="00372199"/>
    <w:rsid w:val="00413873"/>
    <w:rsid w:val="00444D06"/>
    <w:rsid w:val="00467B00"/>
    <w:rsid w:val="004C3C6C"/>
    <w:rsid w:val="004F3A9B"/>
    <w:rsid w:val="0050368F"/>
    <w:rsid w:val="00517B8B"/>
    <w:rsid w:val="00524A2C"/>
    <w:rsid w:val="00530125"/>
    <w:rsid w:val="00530654"/>
    <w:rsid w:val="00575801"/>
    <w:rsid w:val="005907B1"/>
    <w:rsid w:val="00594CE6"/>
    <w:rsid w:val="005958DD"/>
    <w:rsid w:val="005B2D72"/>
    <w:rsid w:val="005B5F2E"/>
    <w:rsid w:val="005C3AB4"/>
    <w:rsid w:val="00604D8A"/>
    <w:rsid w:val="00625C07"/>
    <w:rsid w:val="00655256"/>
    <w:rsid w:val="00660299"/>
    <w:rsid w:val="00670277"/>
    <w:rsid w:val="006809E8"/>
    <w:rsid w:val="006F15CB"/>
    <w:rsid w:val="007334AA"/>
    <w:rsid w:val="00787F88"/>
    <w:rsid w:val="007A43FC"/>
    <w:rsid w:val="007A45A1"/>
    <w:rsid w:val="007C1020"/>
    <w:rsid w:val="008007B5"/>
    <w:rsid w:val="00805C02"/>
    <w:rsid w:val="00807F57"/>
    <w:rsid w:val="00812AA1"/>
    <w:rsid w:val="00843B1A"/>
    <w:rsid w:val="008564ED"/>
    <w:rsid w:val="008C1BC3"/>
    <w:rsid w:val="00946183"/>
    <w:rsid w:val="00961DF7"/>
    <w:rsid w:val="009717AE"/>
    <w:rsid w:val="009A7803"/>
    <w:rsid w:val="009E35ED"/>
    <w:rsid w:val="009E4A01"/>
    <w:rsid w:val="009F37C7"/>
    <w:rsid w:val="00A03638"/>
    <w:rsid w:val="00A16A17"/>
    <w:rsid w:val="00A51395"/>
    <w:rsid w:val="00A61C6D"/>
    <w:rsid w:val="00A62675"/>
    <w:rsid w:val="00A82B71"/>
    <w:rsid w:val="00AB1732"/>
    <w:rsid w:val="00AD127E"/>
    <w:rsid w:val="00AD7655"/>
    <w:rsid w:val="00B20B45"/>
    <w:rsid w:val="00B244E9"/>
    <w:rsid w:val="00B357ED"/>
    <w:rsid w:val="00B35FF2"/>
    <w:rsid w:val="00B64AA6"/>
    <w:rsid w:val="00B807BA"/>
    <w:rsid w:val="00B813D9"/>
    <w:rsid w:val="00BC666E"/>
    <w:rsid w:val="00C01A5C"/>
    <w:rsid w:val="00C7271C"/>
    <w:rsid w:val="00C80F20"/>
    <w:rsid w:val="00C9560D"/>
    <w:rsid w:val="00D043AB"/>
    <w:rsid w:val="00D24440"/>
    <w:rsid w:val="00D72EA8"/>
    <w:rsid w:val="00D803D1"/>
    <w:rsid w:val="00DB2E4E"/>
    <w:rsid w:val="00DD7541"/>
    <w:rsid w:val="00DF16FF"/>
    <w:rsid w:val="00E51FE9"/>
    <w:rsid w:val="00E85AD7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3BB7B-75F8-45CA-BA28-9EF6BEF19097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c0356f7f-482a-4953-aba2-5ca98e295a5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fef20d4-fe9d-46c5-a725-2fbcf473c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Anna R. Holster</cp:lastModifiedBy>
  <cp:revision>11</cp:revision>
  <dcterms:created xsi:type="dcterms:W3CDTF">2020-03-26T14:22:00Z</dcterms:created>
  <dcterms:modified xsi:type="dcterms:W3CDTF">2021-10-04T19:16:00Z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